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404C81" w:rsidRPr="00897607" w:rsidP="00DF2D9D" w14:paraId="261623BA" w14:textId="77777777">
      <w:pPr>
        <w:jc w:val="center"/>
        <w:rPr>
          <w:rFonts w:cs="Arial"/>
        </w:rPr>
      </w:pPr>
    </w:p>
    <w:p w:rsidR="00363E9A" w:rsidRPr="00897607" w:rsidP="00DF2D9D" w14:paraId="3A655656" w14:textId="77777777">
      <w:pPr>
        <w:jc w:val="center"/>
        <w:rPr>
          <w:rFonts w:cs="Arial"/>
        </w:rPr>
      </w:pPr>
    </w:p>
    <w:p w:rsidR="000D7133" w:rsidRPr="00897607" w:rsidP="00DF2D9D" w14:paraId="5CADEAD2" w14:textId="77777777">
      <w:pPr>
        <w:jc w:val="center"/>
        <w:rPr>
          <w:rFonts w:cs="Arial"/>
        </w:rPr>
      </w:pPr>
    </w:p>
    <w:p w:rsidR="000D7133" w:rsidRPr="00897607" w:rsidP="00DF2D9D" w14:paraId="1716625E" w14:textId="77777777">
      <w:pPr>
        <w:jc w:val="center"/>
        <w:rPr>
          <w:rFonts w:cs="Arial"/>
        </w:rPr>
      </w:pPr>
    </w:p>
    <w:p w:rsidR="00363E9A" w:rsidRPr="00897607" w:rsidP="00DF2D9D" w14:paraId="50C86F16" w14:textId="77777777">
      <w:pPr>
        <w:jc w:val="center"/>
        <w:rPr>
          <w:rFonts w:cs="Arial"/>
        </w:rPr>
      </w:pPr>
    </w:p>
    <w:p w:rsidR="00363E9A" w:rsidRPr="00897607" w:rsidP="00DF2D9D" w14:paraId="345A8F03" w14:textId="77777777">
      <w:pPr>
        <w:jc w:val="center"/>
        <w:rPr>
          <w:rFonts w:cs="Arial"/>
        </w:rPr>
      </w:pPr>
    </w:p>
    <w:p w:rsidR="00363E9A" w:rsidRPr="00897607" w:rsidP="00DF2D9D" w14:paraId="112D2EC6" w14:textId="77777777">
      <w:pPr>
        <w:jc w:val="center"/>
        <w:rPr>
          <w:rFonts w:cs="Arial"/>
        </w:rPr>
      </w:pPr>
    </w:p>
    <w:p w:rsidR="00AB228A" w:rsidP="00AB228A" w14:paraId="21524BCA" w14:textId="515A3D44">
      <w:pPr>
        <w:pStyle w:val="Title"/>
        <w:ind w:right="0"/>
        <w:rPr>
          <w:rFonts w:cs="Arial"/>
          <w:sz w:val="36"/>
        </w:rPr>
      </w:pPr>
      <w:r>
        <w:rPr>
          <w:rFonts w:cs="Arial"/>
          <w:sz w:val="36"/>
        </w:rPr>
        <w:t xml:space="preserve">POCT Training and </w:t>
      </w:r>
      <w:r w:rsidRPr="00CB77B8">
        <w:rPr>
          <w:rFonts w:cs="Arial"/>
          <w:color w:val="auto"/>
          <w:sz w:val="36"/>
        </w:rPr>
        <w:t>Competency</w:t>
      </w:r>
      <w:r w:rsidRPr="00CB77B8" w:rsidR="005B7D3F">
        <w:rPr>
          <w:rFonts w:cs="Arial"/>
          <w:color w:val="auto"/>
          <w:sz w:val="36"/>
        </w:rPr>
        <w:t xml:space="preserve"> for end users</w:t>
      </w:r>
      <w:r w:rsidRPr="00CB77B8" w:rsidR="009D4C08">
        <w:rPr>
          <w:rFonts w:cs="Arial"/>
          <w:color w:val="auto"/>
          <w:sz w:val="36"/>
        </w:rPr>
        <w:t>/operators</w:t>
      </w:r>
    </w:p>
    <w:p w:rsidR="00C7143A" w:rsidRPr="00897607" w:rsidP="006F71C0" w14:paraId="6E23BBC7" w14:textId="25A9F520">
      <w:pPr>
        <w:pStyle w:val="Title"/>
        <w:ind w:right="0"/>
        <w:rPr>
          <w:rFonts w:cs="Arial"/>
          <w:color w:val="auto"/>
          <w:sz w:val="36"/>
        </w:rPr>
      </w:pPr>
    </w:p>
    <w:p w:rsidR="000D24AC" w:rsidRPr="00897607" w:rsidP="00DF2D9D" w14:paraId="6BE7ACD0" w14:textId="77777777">
      <w:pPr>
        <w:jc w:val="center"/>
        <w:rPr>
          <w:rFonts w:cs="Arial"/>
        </w:rPr>
      </w:pPr>
    </w:p>
    <w:p w:rsidR="000D24AC" w:rsidRPr="00897607" w:rsidP="00DF2D9D" w14:paraId="31DD9A94" w14:textId="77777777">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2"/>
        <w:gridCol w:w="5951"/>
      </w:tblGrid>
      <w:tr w14:paraId="1AEDE8A2" w14:textId="77777777" w:rsidTr="00040E2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jc w:val="center"/>
        </w:trPr>
        <w:tc>
          <w:tcPr>
            <w:tcW w:w="3287" w:type="dxa"/>
            <w:vAlign w:val="center"/>
          </w:tcPr>
          <w:p w:rsidR="000D24AC" w:rsidRPr="00897607" w:rsidP="00DF2D9D" w14:paraId="1D7FF2B7" w14:textId="77777777">
            <w:pPr>
              <w:pStyle w:val="Header"/>
              <w:jc w:val="both"/>
              <w:rPr>
                <w:rFonts w:cs="Arial"/>
                <w:sz w:val="24"/>
              </w:rPr>
            </w:pPr>
            <w:r w:rsidRPr="00897607">
              <w:rPr>
                <w:rFonts w:cs="Arial"/>
                <w:sz w:val="24"/>
              </w:rPr>
              <w:t>Document Author</w:t>
            </w:r>
            <w:r w:rsidRPr="00897607" w:rsidR="00040E21">
              <w:rPr>
                <w:rFonts w:cs="Arial"/>
                <w:sz w:val="24"/>
              </w:rPr>
              <w:t>/Reviewer</w:t>
            </w:r>
          </w:p>
        </w:tc>
        <w:tc>
          <w:tcPr>
            <w:tcW w:w="5704" w:type="dxa"/>
            <w:vAlign w:val="center"/>
          </w:tcPr>
          <w:p w:rsidR="000D24AC" w:rsidRPr="00897607" w:rsidP="00FA0583" w14:paraId="508F0CE1" w14:textId="34345F5D">
            <w:pPr>
              <w:pStyle w:val="Header"/>
              <w:jc w:val="both"/>
              <w:rPr>
                <w:rFonts w:cs="Arial"/>
                <w:sz w:val="24"/>
              </w:rPr>
            </w:pPr>
            <w:r>
              <w:rPr>
                <w:rFonts w:cs="Arial"/>
                <w:sz w:val="24"/>
              </w:rPr>
              <w:t>Clemora Wilkinson</w:t>
            </w:r>
          </w:p>
        </w:tc>
      </w:tr>
      <w:tr w14:paraId="25BDD21C" w14:textId="77777777" w:rsidTr="00040E21">
        <w:tblPrEx>
          <w:tblW w:w="0" w:type="auto"/>
          <w:jc w:val="center"/>
          <w:tblLook w:val="0000"/>
        </w:tblPrEx>
        <w:trPr>
          <w:trHeight w:val="737"/>
          <w:jc w:val="center"/>
        </w:trPr>
        <w:tc>
          <w:tcPr>
            <w:tcW w:w="3287" w:type="dxa"/>
            <w:vAlign w:val="center"/>
          </w:tcPr>
          <w:p w:rsidR="000D24AC" w:rsidRPr="00897607" w:rsidP="00DF2D9D" w14:paraId="340260F9" w14:textId="77777777">
            <w:pPr>
              <w:pStyle w:val="Header"/>
              <w:jc w:val="both"/>
              <w:rPr>
                <w:rFonts w:cs="Arial"/>
                <w:sz w:val="24"/>
              </w:rPr>
            </w:pPr>
            <w:r w:rsidRPr="00897607">
              <w:rPr>
                <w:rFonts w:cs="Arial"/>
                <w:sz w:val="24"/>
              </w:rPr>
              <w:t>Document Owner</w:t>
            </w:r>
          </w:p>
        </w:tc>
        <w:tc>
          <w:tcPr>
            <w:tcW w:w="5704" w:type="dxa"/>
            <w:vAlign w:val="center"/>
          </w:tcPr>
          <w:p w:rsidR="000D24AC" w:rsidRPr="00897607" w:rsidP="009C0778" w14:paraId="5A4F0D4B" w14:textId="723474D9">
            <w:pPr>
              <w:pStyle w:val="Header"/>
              <w:jc w:val="both"/>
              <w:rPr>
                <w:rFonts w:cs="Arial"/>
                <w:sz w:val="24"/>
              </w:rPr>
            </w:pPr>
            <w:r>
              <w:rPr>
                <w:rFonts w:cs="Arial"/>
                <w:sz w:val="24"/>
                <w:szCs w:val="24"/>
              </w:rPr>
              <w:t>Rachel Lampard</w:t>
            </w:r>
          </w:p>
        </w:tc>
      </w:tr>
      <w:tr w14:paraId="40A1F181" w14:textId="77777777" w:rsidTr="00040E21">
        <w:tblPrEx>
          <w:tblW w:w="0" w:type="auto"/>
          <w:jc w:val="center"/>
          <w:tblLook w:val="0000"/>
        </w:tblPrEx>
        <w:trPr>
          <w:trHeight w:val="737"/>
          <w:jc w:val="center"/>
        </w:trPr>
        <w:tc>
          <w:tcPr>
            <w:tcW w:w="3287" w:type="dxa"/>
            <w:vAlign w:val="center"/>
          </w:tcPr>
          <w:p w:rsidR="00C7143A" w:rsidRPr="00897607" w:rsidP="00DF2D9D" w14:paraId="7E324A2B" w14:textId="77777777">
            <w:pPr>
              <w:pStyle w:val="Header"/>
              <w:jc w:val="both"/>
              <w:rPr>
                <w:rFonts w:cs="Arial"/>
                <w:sz w:val="24"/>
              </w:rPr>
            </w:pPr>
            <w:r w:rsidRPr="00897607">
              <w:rPr>
                <w:rFonts w:cs="Arial"/>
                <w:sz w:val="24"/>
              </w:rPr>
              <w:t>Approved By</w:t>
            </w:r>
          </w:p>
        </w:tc>
        <w:tc>
          <w:tcPr>
            <w:tcW w:w="5704" w:type="dxa"/>
            <w:vAlign w:val="center"/>
          </w:tcPr>
          <w:p w:rsidR="00C7143A" w:rsidRPr="00897607" w:rsidP="009C0778" w14:paraId="6A545731" w14:textId="14F6F749">
            <w:pPr>
              <w:pStyle w:val="Header"/>
              <w:jc w:val="both"/>
              <w:rPr>
                <w:rFonts w:cs="Arial"/>
                <w:sz w:val="24"/>
              </w:rPr>
            </w:pPr>
            <w:r>
              <w:rPr>
                <w:rFonts w:cs="Arial"/>
                <w:sz w:val="24"/>
                <w:szCs w:val="24"/>
              </w:rPr>
              <w:t>Rachel Lampard</w:t>
            </w:r>
          </w:p>
        </w:tc>
      </w:tr>
      <w:tr w14:paraId="330C7E91" w14:textId="77777777" w:rsidTr="00040E21">
        <w:tblPrEx>
          <w:tblW w:w="0" w:type="auto"/>
          <w:jc w:val="center"/>
          <w:tblLook w:val="0000"/>
        </w:tblPrEx>
        <w:trPr>
          <w:trHeight w:val="737"/>
          <w:jc w:val="center"/>
        </w:trPr>
        <w:tc>
          <w:tcPr>
            <w:tcW w:w="3287" w:type="dxa"/>
            <w:vAlign w:val="center"/>
          </w:tcPr>
          <w:p w:rsidR="00C7143A" w:rsidRPr="00897607" w:rsidP="00C7143A" w14:paraId="1FBAC1A0" w14:textId="77777777">
            <w:pPr>
              <w:pStyle w:val="Header"/>
              <w:jc w:val="both"/>
              <w:rPr>
                <w:rFonts w:cs="Arial"/>
                <w:sz w:val="24"/>
              </w:rPr>
            </w:pPr>
            <w:r w:rsidRPr="00897607">
              <w:rPr>
                <w:rFonts w:cs="Arial"/>
                <w:sz w:val="24"/>
              </w:rPr>
              <w:t>Review Interval</w:t>
            </w:r>
          </w:p>
        </w:tc>
        <w:tc>
          <w:tcPr>
            <w:tcW w:w="5704" w:type="dxa"/>
            <w:vAlign w:val="center"/>
          </w:tcPr>
          <w:p w:rsidR="00C7143A" w:rsidRPr="00897607" w:rsidP="00C7143A" w14:paraId="5AA2CFD8" w14:textId="0A6D21C3">
            <w:pPr>
              <w:spacing w:after="0"/>
              <w:rPr>
                <w:rFonts w:cs="Arial"/>
                <w:sz w:val="24"/>
              </w:rPr>
            </w:pPr>
            <w:r>
              <w:rPr>
                <w:rFonts w:cs="Arial"/>
                <w:sz w:val="24"/>
                <w:szCs w:val="24"/>
              </w:rPr>
              <w:t>2 years</w:t>
            </w:r>
          </w:p>
        </w:tc>
      </w:tr>
    </w:tbl>
    <w:p w:rsidR="000D24AC" w:rsidRPr="00897607" w:rsidP="00DF2D9D" w14:paraId="01604623" w14:textId="77777777">
      <w:pPr>
        <w:rPr>
          <w:rFonts w:cs="Arial"/>
        </w:rPr>
      </w:pPr>
    </w:p>
    <w:p w:rsidR="00C03C62" w:rsidRPr="00897607" w:rsidP="00DF2D9D" w14:paraId="656F6ECD" w14:textId="77777777">
      <w:pPr>
        <w:rPr>
          <w:rFonts w:cs="Arial"/>
        </w:rPr>
      </w:pPr>
    </w:p>
    <w:p w:rsidR="00C03C62" w:rsidRPr="00897607" w:rsidP="00DF2D9D" w14:paraId="7EFA9040" w14:textId="77777777">
      <w:pPr>
        <w:rPr>
          <w:rFonts w:cs="Arial"/>
        </w:rPr>
      </w:pPr>
    </w:p>
    <w:p w:rsidR="000D24AC" w:rsidRPr="00897607" w:rsidP="00DF2D9D" w14:paraId="6D7CF47D" w14:textId="77777777">
      <w:pPr>
        <w:rPr>
          <w:rFonts w:cs="Arial"/>
        </w:rPr>
      </w:pPr>
      <w:r w:rsidRPr="00897607">
        <w:rPr>
          <w:rFonts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244475</wp:posOffset>
                </wp:positionH>
                <wp:positionV relativeFrom="paragraph">
                  <wp:posOffset>165100</wp:posOffset>
                </wp:positionV>
                <wp:extent cx="5715000" cy="1534160"/>
                <wp:effectExtent l="0" t="0" r="19050" b="27940"/>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rsidR="00BA4840" w:rsidP="00040E21" w14:textId="77777777">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BA4840" w:rsidP="00040E21" w14:textId="4A884E11">
                            <w:pPr>
                              <w:rPr>
                                <w:rFonts w:cs="Arial"/>
                                <w:szCs w:val="24"/>
                              </w:rPr>
                            </w:pPr>
                            <w:r>
                              <w:rPr>
                                <w:rFonts w:cs="Arial"/>
                                <w:szCs w:val="24"/>
                              </w:rPr>
                              <w:t>New template</w:t>
                            </w:r>
                          </w:p>
                          <w:p w:rsidR="00427AF3" w:rsidP="00040E21" w14:textId="2C1DCDA2">
                            <w:pPr>
                              <w:rPr>
                                <w:rFonts w:cs="Arial"/>
                                <w:szCs w:val="24"/>
                              </w:rPr>
                            </w:pPr>
                            <w:r>
                              <w:rPr>
                                <w:rFonts w:cs="Arial"/>
                                <w:szCs w:val="24"/>
                              </w:rPr>
                              <w:t>General review</w:t>
                            </w:r>
                          </w:p>
                          <w:p w:rsidR="00427AF3" w:rsidRPr="00956B67" w:rsidP="00040E21" w14:textId="5489BC9B">
                            <w:pPr>
                              <w:rPr>
                                <w:rFonts w:cs="Arial"/>
                                <w:b/>
                                <w:bCs/>
                                <w:sz w:val="24"/>
                                <w:szCs w:val="24"/>
                                <w:u w:val="single"/>
                              </w:rPr>
                            </w:pPr>
                            <w:r>
                              <w:rPr>
                                <w:rFonts w:cs="Arial"/>
                                <w:szCs w:val="24"/>
                              </w:rPr>
                              <w:t>Inclusion of pre-certification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0pt;height:120.8pt;margin-top:13pt;margin-left:19.25pt;mso-height-percent:0;mso-height-relative:page;mso-width-percent:0;mso-width-relative:page;mso-wrap-distance-bottom:0;mso-wrap-distance-left:9pt;mso-wrap-distance-right:9pt;mso-wrap-distance-top:0;mso-wrap-style:square;position:absolute;visibility:visible;v-text-anchor:top;z-index:251659264">
                <v:textbox>
                  <w:txbxContent>
                    <w:p w:rsidR="00BA4840" w:rsidP="00040E21" w14:paraId="28EF88F4" w14:textId="77777777">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BA4840" w:rsidP="00040E21" w14:paraId="452BCBA6" w14:textId="4A884E11">
                      <w:pPr>
                        <w:rPr>
                          <w:rFonts w:cs="Arial"/>
                          <w:szCs w:val="24"/>
                        </w:rPr>
                      </w:pPr>
                      <w:r>
                        <w:rPr>
                          <w:rFonts w:cs="Arial"/>
                          <w:szCs w:val="24"/>
                        </w:rPr>
                        <w:t>New template</w:t>
                      </w:r>
                    </w:p>
                    <w:p w:rsidR="00427AF3" w:rsidP="00040E21" w14:paraId="258C69B0" w14:textId="2C1DCDA2">
                      <w:pPr>
                        <w:rPr>
                          <w:rFonts w:cs="Arial"/>
                          <w:szCs w:val="24"/>
                        </w:rPr>
                      </w:pPr>
                      <w:r>
                        <w:rPr>
                          <w:rFonts w:cs="Arial"/>
                          <w:szCs w:val="24"/>
                        </w:rPr>
                        <w:t>General review</w:t>
                      </w:r>
                    </w:p>
                    <w:p w:rsidR="00427AF3" w:rsidRPr="00956B67" w:rsidP="00040E21" w14:paraId="118A1572" w14:textId="5489BC9B">
                      <w:pPr>
                        <w:rPr>
                          <w:rFonts w:cs="Arial"/>
                          <w:b/>
                          <w:bCs/>
                          <w:sz w:val="24"/>
                          <w:szCs w:val="24"/>
                          <w:u w:val="single"/>
                        </w:rPr>
                      </w:pPr>
                      <w:r>
                        <w:rPr>
                          <w:rFonts w:cs="Arial"/>
                          <w:szCs w:val="24"/>
                        </w:rPr>
                        <w:t>Inclusion of pre-certification</w:t>
                      </w:r>
                    </w:p>
                  </w:txbxContent>
                </v:textbox>
              </v:shape>
            </w:pict>
          </mc:Fallback>
        </mc:AlternateContent>
      </w:r>
    </w:p>
    <w:p w:rsidR="000D24AC" w:rsidRPr="00897607" w:rsidP="00DF2D9D" w14:paraId="6DBC4862" w14:textId="77777777">
      <w:pPr>
        <w:rPr>
          <w:rFonts w:cs="Arial"/>
        </w:rPr>
      </w:pPr>
    </w:p>
    <w:p w:rsidR="000D24AC" w:rsidRPr="00897607" w:rsidP="00DF2D9D" w14:paraId="6B31C3DF" w14:textId="77777777">
      <w:pPr>
        <w:rPr>
          <w:rFonts w:cs="Arial"/>
        </w:rPr>
      </w:pPr>
    </w:p>
    <w:p w:rsidR="000D24AC" w:rsidRPr="00897607" w:rsidP="00DF2D9D" w14:paraId="6F342DFB" w14:textId="77777777">
      <w:pPr>
        <w:rPr>
          <w:rFonts w:cs="Arial"/>
        </w:rPr>
      </w:pPr>
    </w:p>
    <w:p w:rsidR="000D24AC" w:rsidRPr="00897607" w:rsidP="00DF2D9D" w14:paraId="3FD4ECA5" w14:textId="77777777">
      <w:pPr>
        <w:rPr>
          <w:rFonts w:cs="Arial"/>
        </w:rPr>
      </w:pPr>
    </w:p>
    <w:p w:rsidR="000D24AC" w:rsidRPr="00897607" w:rsidP="00DF2D9D" w14:paraId="66875686" w14:textId="77777777">
      <w:pPr>
        <w:rPr>
          <w:rFonts w:cs="Arial"/>
        </w:rPr>
      </w:pPr>
    </w:p>
    <w:p w:rsidR="000E777E" w:rsidRPr="00897607" w:rsidP="00DF2D9D" w14:paraId="710F31B0" w14:textId="77777777">
      <w:pPr>
        <w:rPr>
          <w:rFonts w:cs="Arial"/>
        </w:rPr>
      </w:pPr>
      <w:r w:rsidRPr="00897607">
        <w:rPr>
          <w:rFonts w:cs="Arial"/>
        </w:rPr>
        <w:br w:type="page"/>
      </w:r>
    </w:p>
    <w:p w:rsidR="00F10D2E" w:rsidRPr="00897607" w:rsidP="00F9747B" w14:paraId="6EF21310" w14:textId="77777777">
      <w:pPr>
        <w:spacing w:before="120"/>
        <w:rPr>
          <w:rFonts w:cs="Arial"/>
        </w:rPr>
        <w:sectPr w:rsidSect="00227536">
          <w:headerReference w:type="default" r:id="rId5"/>
          <w:footerReference w:type="default" r:id="rId6"/>
          <w:headerReference w:type="first" r:id="rId7"/>
          <w:footerReference w:type="first" r:id="rId8"/>
          <w:pgSz w:w="11906" w:h="16838" w:code="9"/>
          <w:pgMar w:top="1191" w:right="1134" w:bottom="1191" w:left="1134" w:header="397" w:footer="720" w:gutter="0"/>
          <w:paperSrc w:first="15" w:other="15"/>
          <w:cols w:space="720"/>
          <w:docGrid w:linePitch="299"/>
        </w:sectPr>
      </w:pPr>
    </w:p>
    <w:bookmarkStart w:id="0" w:name="_Toc213598523" w:displacedByCustomXml="next"/>
    <w:bookmarkStart w:id="1" w:name="_Toc213598297" w:displacedByCustomXml="next"/>
    <w:sdt>
      <w:sdtPr>
        <w:rPr>
          <w:rFonts w:ascii="Arial" w:eastAsia="Times New Roman" w:hAnsi="Arial" w:cs="Times New Roman"/>
          <w:b w:val="0"/>
          <w:bCs w:val="0"/>
          <w:color w:val="auto"/>
          <w:sz w:val="22"/>
          <w:szCs w:val="20"/>
          <w:lang w:val="en-GB" w:eastAsia="en-US"/>
        </w:rPr>
        <w:id w:val="-41596710"/>
        <w:docPartObj>
          <w:docPartGallery w:val="Table of Contents"/>
          <w:docPartUnique/>
        </w:docPartObj>
      </w:sdtPr>
      <w:sdtEndPr>
        <w:rPr>
          <w:noProof/>
        </w:rPr>
      </w:sdtEndPr>
      <w:sdtContent>
        <w:p w:rsidR="00C9359A" w:rsidRPr="00897607" w14:paraId="57D23CD4" w14:textId="77777777">
          <w:pPr>
            <w:pStyle w:val="TOCHeading"/>
          </w:pPr>
          <w:r w:rsidRPr="00897607">
            <w:t>Table of Contents</w:t>
          </w:r>
        </w:p>
        <w:p w14:paraId="27E860A1" w14:textId="0AADC634">
          <w:pPr>
            <w:pStyle w:val="TOC1"/>
            <w:tabs>
              <w:tab w:val="left" w:pos="440"/>
              <w:tab w:val="right" w:leader="dot" w:pos="9628"/>
            </w:tabs>
            <w:rPr>
              <w:rFonts w:asciiTheme="minorHAnsi" w:hAnsiTheme="minorHAnsi"/>
              <w:noProof/>
              <w:sz w:val="22"/>
            </w:rPr>
          </w:pPr>
          <w:r w:rsidRPr="00897607">
            <w:fldChar w:fldCharType="begin"/>
          </w:r>
          <w:r w:rsidRPr="00897607">
            <w:instrText xml:space="preserve"> TOC \o "1-3" \h \z \u </w:instrText>
          </w:r>
          <w:r w:rsidRPr="00897607">
            <w:fldChar w:fldCharType="separate"/>
          </w:r>
          <w:hyperlink w:anchor="_Toc256000000" w:history="1">
            <w:r>
              <w:rPr>
                <w:rStyle w:val="Hyperlink"/>
              </w:rPr>
              <w:t>1</w:t>
            </w:r>
            <w:r>
              <w:rPr>
                <w:rFonts w:asciiTheme="minorHAnsi" w:hAnsiTheme="minorHAnsi"/>
                <w:noProof/>
                <w:sz w:val="22"/>
              </w:rPr>
              <w:tab/>
            </w:r>
            <w:r w:rsidRPr="00897607">
              <w:rPr>
                <w:rStyle w:val="Hyperlink"/>
              </w:rPr>
              <w:t>Introduction</w:t>
            </w:r>
            <w:r w:rsidRPr="00897607" w:rsidR="006F71C0">
              <w:rPr>
                <w:rStyle w:val="Hyperlink"/>
              </w:rPr>
              <w:t xml:space="preserve"> and Scope</w:t>
            </w:r>
            <w:r>
              <w:tab/>
            </w:r>
            <w:r>
              <w:fldChar w:fldCharType="begin"/>
            </w:r>
            <w:r>
              <w:instrText xml:space="preserve"> PAGEREF _Toc256000000 \h </w:instrText>
            </w:r>
            <w:r>
              <w:fldChar w:fldCharType="separate"/>
            </w:r>
            <w:r>
              <w:t>3</w:t>
            </w:r>
            <w:r>
              <w:fldChar w:fldCharType="end"/>
            </w:r>
          </w:hyperlink>
        </w:p>
        <w:p>
          <w:pPr>
            <w:pStyle w:val="TOC1"/>
            <w:tabs>
              <w:tab w:val="left" w:pos="440"/>
              <w:tab w:val="right" w:leader="dot" w:pos="9628"/>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897607">
              <w:rPr>
                <w:rStyle w:val="Hyperlink"/>
              </w:rPr>
              <w:t xml:space="preserve">Abbreviations and </w:t>
            </w:r>
            <w:r w:rsidRPr="00897607" w:rsidR="006F71C0">
              <w:rPr>
                <w:rStyle w:val="Hyperlink"/>
              </w:rPr>
              <w:t>Definitions</w:t>
            </w:r>
            <w:r>
              <w:tab/>
            </w:r>
            <w:r>
              <w:fldChar w:fldCharType="begin"/>
            </w:r>
            <w:r>
              <w:instrText xml:space="preserve"> PAGEREF _Toc256000001 \h </w:instrText>
            </w:r>
            <w:r>
              <w:fldChar w:fldCharType="separate"/>
            </w:r>
            <w:r>
              <w:t>3</w:t>
            </w:r>
            <w:r>
              <w:fldChar w:fldCharType="end"/>
            </w:r>
          </w:hyperlink>
        </w:p>
        <w:p>
          <w:pPr>
            <w:pStyle w:val="TOC1"/>
            <w:tabs>
              <w:tab w:val="left" w:pos="440"/>
              <w:tab w:val="right" w:leader="dot" w:pos="9628"/>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897607">
              <w:rPr>
                <w:rStyle w:val="Hyperlink"/>
              </w:rPr>
              <w:t>Tasks</w:t>
            </w:r>
            <w:r w:rsidRPr="00897607" w:rsidR="007407DF">
              <w:rPr>
                <w:rStyle w:val="Hyperlink"/>
              </w:rPr>
              <w:t>, responsibilities and authorisation</w:t>
            </w:r>
            <w:r>
              <w:tab/>
            </w:r>
            <w:r>
              <w:fldChar w:fldCharType="begin"/>
            </w:r>
            <w:r>
              <w:instrText xml:space="preserve"> PAGEREF _Toc256000002 \h </w:instrText>
            </w:r>
            <w:r>
              <w:fldChar w:fldCharType="separate"/>
            </w:r>
            <w:r>
              <w:t>3</w:t>
            </w:r>
            <w:r>
              <w:fldChar w:fldCharType="end"/>
            </w:r>
          </w:hyperlink>
        </w:p>
        <w:p>
          <w:pPr>
            <w:pStyle w:val="TOC1"/>
            <w:tabs>
              <w:tab w:val="left" w:pos="440"/>
              <w:tab w:val="right" w:leader="dot" w:pos="9628"/>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897607">
              <w:rPr>
                <w:rStyle w:val="Hyperlink"/>
              </w:rPr>
              <w:t>Main Content</w:t>
            </w:r>
            <w:r>
              <w:tab/>
            </w:r>
            <w:r>
              <w:fldChar w:fldCharType="begin"/>
            </w:r>
            <w:r>
              <w:instrText xml:space="preserve"> PAGEREF _Toc256000003 \h </w:instrText>
            </w:r>
            <w:r>
              <w:fldChar w:fldCharType="separate"/>
            </w:r>
            <w:r>
              <w:t>4</w:t>
            </w:r>
            <w:r>
              <w:fldChar w:fldCharType="end"/>
            </w:r>
          </w:hyperlink>
        </w:p>
        <w:p>
          <w:pPr>
            <w:pStyle w:val="TOC2"/>
            <w:tabs>
              <w:tab w:val="left" w:pos="880"/>
              <w:tab w:val="right" w:leader="dot" w:pos="962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7E1AAF">
              <w:rPr>
                <w:rStyle w:val="Hyperlink"/>
              </w:rPr>
              <w:t>Initial Operator Training</w:t>
            </w:r>
            <w:r>
              <w:tab/>
            </w:r>
            <w:r>
              <w:fldChar w:fldCharType="begin"/>
            </w:r>
            <w:r>
              <w:instrText xml:space="preserve"> PAGEREF _Toc256000004 \h </w:instrText>
            </w:r>
            <w:r>
              <w:fldChar w:fldCharType="separate"/>
            </w:r>
            <w:r>
              <w:t>4</w:t>
            </w:r>
            <w:r>
              <w:fldChar w:fldCharType="end"/>
            </w:r>
          </w:hyperlink>
        </w:p>
        <w:p>
          <w:pPr>
            <w:pStyle w:val="TOC2"/>
            <w:tabs>
              <w:tab w:val="left" w:pos="880"/>
              <w:tab w:val="right" w:leader="dot" w:pos="962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Pr>
                <w:rStyle w:val="Hyperlink"/>
              </w:rPr>
              <w:t>Competency Assessment</w:t>
            </w:r>
            <w:r>
              <w:tab/>
            </w:r>
            <w:r>
              <w:fldChar w:fldCharType="begin"/>
            </w:r>
            <w:r>
              <w:instrText xml:space="preserve"> PAGEREF _Toc256000005 \h </w:instrText>
            </w:r>
            <w:r>
              <w:fldChar w:fldCharType="separate"/>
            </w:r>
            <w:r>
              <w:t>5</w:t>
            </w:r>
            <w:r>
              <w:fldChar w:fldCharType="end"/>
            </w:r>
          </w:hyperlink>
        </w:p>
        <w:p>
          <w:pPr>
            <w:pStyle w:val="TOC2"/>
            <w:tabs>
              <w:tab w:val="left" w:pos="880"/>
              <w:tab w:val="right" w:leader="dot" w:pos="962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Pr>
                <w:rStyle w:val="Hyperlink"/>
              </w:rPr>
              <w:t>Recertification of Operators</w:t>
            </w:r>
            <w:r>
              <w:tab/>
            </w:r>
            <w:r>
              <w:fldChar w:fldCharType="begin"/>
            </w:r>
            <w:r>
              <w:instrText xml:space="preserve"> PAGEREF _Toc256000006 \h </w:instrText>
            </w:r>
            <w:r>
              <w:fldChar w:fldCharType="separate"/>
            </w:r>
            <w:r>
              <w:t>5</w:t>
            </w:r>
            <w:r>
              <w:fldChar w:fldCharType="end"/>
            </w:r>
          </w:hyperlink>
        </w:p>
        <w:p>
          <w:pPr>
            <w:pStyle w:val="TOC1"/>
            <w:tabs>
              <w:tab w:val="left" w:pos="440"/>
              <w:tab w:val="right" w:leader="dot" w:pos="9628"/>
            </w:tabs>
            <w:rPr>
              <w:rFonts w:asciiTheme="minorHAnsi" w:hAnsiTheme="minorHAnsi"/>
              <w:noProof/>
              <w:sz w:val="22"/>
            </w:rPr>
          </w:pPr>
          <w:hyperlink w:anchor="_Toc256000007" w:history="1">
            <w:r>
              <w:rPr>
                <w:rStyle w:val="Hyperlink"/>
              </w:rPr>
              <w:t>5</w:t>
            </w:r>
            <w:r>
              <w:rPr>
                <w:rFonts w:asciiTheme="minorHAnsi" w:hAnsiTheme="minorHAnsi"/>
                <w:noProof/>
                <w:sz w:val="22"/>
              </w:rPr>
              <w:tab/>
            </w:r>
            <w:r w:rsidRPr="00897607">
              <w:rPr>
                <w:rStyle w:val="Hyperlink"/>
              </w:rPr>
              <w:t>Training</w:t>
            </w:r>
            <w:r w:rsidRPr="00897607" w:rsidR="00404FFF">
              <w:rPr>
                <w:rStyle w:val="Hyperlink"/>
              </w:rPr>
              <w:t xml:space="preserve"> Requirements</w:t>
            </w:r>
            <w:r>
              <w:tab/>
            </w:r>
            <w:r>
              <w:fldChar w:fldCharType="begin"/>
            </w:r>
            <w:r>
              <w:instrText xml:space="preserve"> PAGEREF _Toc256000007 \h </w:instrText>
            </w:r>
            <w:r>
              <w:fldChar w:fldCharType="separate"/>
            </w:r>
            <w:r>
              <w:t>6</w:t>
            </w:r>
            <w:r>
              <w:fldChar w:fldCharType="end"/>
            </w:r>
          </w:hyperlink>
        </w:p>
        <w:p>
          <w:pPr>
            <w:pStyle w:val="TOC1"/>
            <w:tabs>
              <w:tab w:val="left" w:pos="440"/>
              <w:tab w:val="right" w:leader="dot" w:pos="9628"/>
            </w:tabs>
            <w:rPr>
              <w:rFonts w:asciiTheme="minorHAnsi" w:hAnsiTheme="minorHAnsi"/>
              <w:noProof/>
              <w:sz w:val="22"/>
            </w:rPr>
          </w:pPr>
          <w:hyperlink w:anchor="_Toc256000008" w:history="1">
            <w:r>
              <w:rPr>
                <w:rStyle w:val="Hyperlink"/>
              </w:rPr>
              <w:t>6</w:t>
            </w:r>
            <w:r>
              <w:rPr>
                <w:rFonts w:asciiTheme="minorHAnsi" w:hAnsiTheme="minorHAnsi"/>
                <w:noProof/>
                <w:sz w:val="22"/>
              </w:rPr>
              <w:tab/>
            </w:r>
            <w:r w:rsidRPr="00897607">
              <w:rPr>
                <w:rStyle w:val="Hyperlink"/>
              </w:rPr>
              <w:t>Monitoring Compliance</w:t>
            </w:r>
            <w:r>
              <w:tab/>
            </w:r>
            <w:r>
              <w:fldChar w:fldCharType="begin"/>
            </w:r>
            <w:r>
              <w:instrText xml:space="preserve"> PAGEREF _Toc256000008 \h </w:instrText>
            </w:r>
            <w:r>
              <w:fldChar w:fldCharType="separate"/>
            </w:r>
            <w:r>
              <w:t>6</w:t>
            </w:r>
            <w:r>
              <w:fldChar w:fldCharType="end"/>
            </w:r>
          </w:hyperlink>
        </w:p>
        <w:p>
          <w:pPr>
            <w:pStyle w:val="TOC1"/>
            <w:tabs>
              <w:tab w:val="left" w:pos="440"/>
              <w:tab w:val="right" w:leader="dot" w:pos="9628"/>
            </w:tabs>
            <w:rPr>
              <w:rFonts w:asciiTheme="minorHAnsi" w:hAnsiTheme="minorHAnsi"/>
              <w:noProof/>
              <w:sz w:val="22"/>
            </w:rPr>
          </w:pPr>
          <w:hyperlink w:anchor="_Toc256000009" w:history="1">
            <w:r>
              <w:rPr>
                <w:rStyle w:val="Hyperlink"/>
              </w:rPr>
              <w:t>7</w:t>
            </w:r>
            <w:r>
              <w:rPr>
                <w:rFonts w:asciiTheme="minorHAnsi" w:hAnsiTheme="minorHAnsi"/>
                <w:noProof/>
                <w:sz w:val="22"/>
              </w:rPr>
              <w:tab/>
            </w:r>
            <w:r w:rsidRPr="00897607">
              <w:rPr>
                <w:rStyle w:val="Hyperlink"/>
              </w:rPr>
              <w:t>Publication and Distribution</w:t>
            </w:r>
            <w:r>
              <w:tab/>
            </w:r>
            <w:r>
              <w:fldChar w:fldCharType="begin"/>
            </w:r>
            <w:r>
              <w:instrText xml:space="preserve"> PAGEREF _Toc256000009 \h </w:instrText>
            </w:r>
            <w:r>
              <w:fldChar w:fldCharType="separate"/>
            </w:r>
            <w:r>
              <w:t>6</w:t>
            </w:r>
            <w:r>
              <w:fldChar w:fldCharType="end"/>
            </w:r>
          </w:hyperlink>
        </w:p>
        <w:p>
          <w:pPr>
            <w:pStyle w:val="TOC1"/>
            <w:tabs>
              <w:tab w:val="left" w:pos="440"/>
              <w:tab w:val="right" w:leader="dot" w:pos="9628"/>
            </w:tabs>
            <w:rPr>
              <w:rFonts w:asciiTheme="minorHAnsi" w:hAnsiTheme="minorHAnsi"/>
              <w:noProof/>
              <w:sz w:val="22"/>
            </w:rPr>
          </w:pPr>
          <w:hyperlink w:anchor="_Toc256000010" w:history="1">
            <w:r>
              <w:rPr>
                <w:rStyle w:val="Hyperlink"/>
              </w:rPr>
              <w:t>8</w:t>
            </w:r>
            <w:r>
              <w:rPr>
                <w:rFonts w:asciiTheme="minorHAnsi" w:hAnsiTheme="minorHAnsi"/>
                <w:noProof/>
                <w:sz w:val="22"/>
              </w:rPr>
              <w:tab/>
            </w:r>
            <w:r w:rsidRPr="00897607">
              <w:rPr>
                <w:rStyle w:val="Hyperlink"/>
              </w:rPr>
              <w:t>References</w:t>
            </w:r>
            <w:r>
              <w:tab/>
            </w:r>
            <w:r>
              <w:fldChar w:fldCharType="begin"/>
            </w:r>
            <w:r>
              <w:instrText xml:space="preserve"> PAGEREF _Toc256000010 \h </w:instrText>
            </w:r>
            <w:r>
              <w:fldChar w:fldCharType="separate"/>
            </w:r>
            <w:r>
              <w:t>6</w:t>
            </w:r>
            <w:r>
              <w:fldChar w:fldCharType="end"/>
            </w:r>
          </w:hyperlink>
        </w:p>
        <w:p>
          <w:pPr>
            <w:pStyle w:val="TOC1"/>
            <w:tabs>
              <w:tab w:val="left" w:pos="440"/>
              <w:tab w:val="right" w:leader="dot" w:pos="9628"/>
            </w:tabs>
            <w:rPr>
              <w:rFonts w:asciiTheme="minorHAnsi" w:hAnsiTheme="minorHAnsi"/>
              <w:noProof/>
              <w:sz w:val="22"/>
            </w:rPr>
          </w:pPr>
          <w:hyperlink w:anchor="_Toc256000011" w:history="1">
            <w:r>
              <w:rPr>
                <w:rStyle w:val="Hyperlink"/>
              </w:rPr>
              <w:t>9</w:t>
            </w:r>
            <w:r>
              <w:rPr>
                <w:rFonts w:asciiTheme="minorHAnsi" w:hAnsiTheme="minorHAnsi"/>
                <w:noProof/>
                <w:sz w:val="22"/>
              </w:rPr>
              <w:tab/>
            </w:r>
            <w:r w:rsidRPr="00897607">
              <w:rPr>
                <w:rStyle w:val="Hyperlink"/>
              </w:rPr>
              <w:t>Associated Documents</w:t>
            </w:r>
            <w:r>
              <w:tab/>
            </w:r>
            <w:r>
              <w:fldChar w:fldCharType="begin"/>
            </w:r>
            <w:r>
              <w:instrText xml:space="preserve"> PAGEREF _Toc256000011 \h </w:instrText>
            </w:r>
            <w:r>
              <w:fldChar w:fldCharType="separate"/>
            </w:r>
            <w:r>
              <w:t>6</w:t>
            </w:r>
            <w:r>
              <w:fldChar w:fldCharType="end"/>
            </w:r>
          </w:hyperlink>
        </w:p>
        <w:p w:rsidR="00C9359A" w:rsidRPr="00897607">
          <w:r w:rsidRPr="00897607">
            <w:rPr>
              <w:b/>
              <w:bCs/>
              <w:noProof/>
            </w:rPr>
            <w:fldChar w:fldCharType="end"/>
          </w:r>
        </w:p>
      </w:sdtContent>
    </w:sdt>
    <w:p w:rsidR="006C531D" w:rsidRPr="00897607" w:rsidP="009A3A58" w14:paraId="18CFBD68" w14:textId="77777777"/>
    <w:p w:rsidR="009A3A58" w:rsidRPr="00897607" w:rsidP="009A3A58" w14:paraId="74A20C1B" w14:textId="77777777"/>
    <w:p w:rsidR="009A3A58" w:rsidRPr="00897607" w:rsidP="009A3A58" w14:paraId="07B75309" w14:textId="0C7722C7"/>
    <w:p w:rsidR="009A3A58" w:rsidRPr="00897607" w:rsidP="009A3A58" w14:paraId="1EF9310D" w14:textId="77777777"/>
    <w:p w:rsidR="009A3A58" w:rsidRPr="00897607" w:rsidP="009A3A58" w14:paraId="58DB7CB7" w14:textId="77777777"/>
    <w:p w:rsidR="00040E21" w:rsidRPr="00897607" w:rsidP="009A3A58" w14:paraId="774C4CC6" w14:textId="77777777"/>
    <w:p w:rsidR="00040E21" w:rsidRPr="00897607" w:rsidP="009A3A58" w14:paraId="452A2F08" w14:textId="77777777"/>
    <w:p w:rsidR="00040E21" w:rsidRPr="00897607" w:rsidP="009A3A58" w14:paraId="7E5B1D58" w14:textId="77777777"/>
    <w:p w:rsidR="00040E21" w:rsidRPr="00897607" w:rsidP="009A3A58" w14:paraId="0881B833" w14:textId="77777777"/>
    <w:p w:rsidR="00040E21" w:rsidRPr="00897607" w:rsidP="009A3A58" w14:paraId="7384407C" w14:textId="77777777"/>
    <w:p w:rsidR="00B22105" w:rsidRPr="00897607" w:rsidP="009A3A58" w14:paraId="33AACB96" w14:textId="77777777"/>
    <w:p w:rsidR="00B22105" w:rsidRPr="00897607" w:rsidP="009A3A58" w14:paraId="3A50FAC1" w14:textId="77777777"/>
    <w:p w:rsidR="006F71C0" w:rsidRPr="00897607" w:rsidP="009A3A58" w14:paraId="4FB09FF8" w14:textId="77777777"/>
    <w:p w:rsidR="006F71C0" w:rsidRPr="00897607" w:rsidP="009A3A58" w14:paraId="45F5CF79" w14:textId="77777777"/>
    <w:p w:rsidR="006F71C0" w:rsidRPr="00897607" w:rsidP="009A3A58" w14:paraId="022541C2" w14:textId="77777777"/>
    <w:p w:rsidR="006F71C0" w:rsidRPr="00897607" w:rsidP="009A3A58" w14:paraId="0F7C6F7F" w14:textId="77777777"/>
    <w:p w:rsidR="006F71C0" w:rsidRPr="00897607" w:rsidP="006F71C0" w14:paraId="33CE23F8" w14:textId="77777777">
      <w:pPr>
        <w:pStyle w:val="Heading1"/>
      </w:pPr>
      <w:bookmarkStart w:id="2" w:name="_Toc434312272"/>
      <w:bookmarkStart w:id="3" w:name="_Toc86407916"/>
      <w:bookmarkEnd w:id="1"/>
      <w:bookmarkEnd w:id="0"/>
      <w:bookmarkStart w:id="4" w:name="_Toc256000000"/>
      <w:r w:rsidRPr="00897607">
        <w:t>Introduction</w:t>
      </w:r>
      <w:r w:rsidRPr="00897607">
        <w:t xml:space="preserve"> and Scope</w:t>
      </w:r>
      <w:bookmarkEnd w:id="4"/>
      <w:bookmarkEnd w:id="2"/>
      <w:bookmarkEnd w:id="3"/>
    </w:p>
    <w:p w:rsidR="00427AF3" w:rsidP="00427AF3" w14:paraId="2DF55077" w14:textId="0C8D9DAA">
      <w:pPr>
        <w:rPr>
          <w:rFonts w:cs="Arial"/>
          <w:szCs w:val="24"/>
        </w:rPr>
      </w:pPr>
      <w:bookmarkStart w:id="5" w:name="_Toc434312274"/>
      <w:bookmarkStart w:id="6" w:name="_Toc86407918"/>
      <w:bookmarkStart w:id="7" w:name="_Toc213598298"/>
      <w:bookmarkStart w:id="8" w:name="_Toc213598524"/>
      <w:r w:rsidRPr="006B79E9">
        <w:rPr>
          <w:rFonts w:cs="Arial"/>
          <w:szCs w:val="24"/>
        </w:rPr>
        <w:t xml:space="preserve">This policy </w:t>
      </w:r>
      <w:r>
        <w:rPr>
          <w:rFonts w:cs="Arial"/>
          <w:szCs w:val="24"/>
        </w:rPr>
        <w:t>outlines how to ensure that all Point o</w:t>
      </w:r>
      <w:r w:rsidRPr="006B79E9">
        <w:rPr>
          <w:rFonts w:cs="Arial"/>
          <w:szCs w:val="24"/>
        </w:rPr>
        <w:t>f Care Testing (POCT) training provided to end users</w:t>
      </w:r>
      <w:r w:rsidR="009D4C08">
        <w:rPr>
          <w:rFonts w:cs="Arial"/>
          <w:szCs w:val="24"/>
        </w:rPr>
        <w:t>/operators</w:t>
      </w:r>
      <w:r w:rsidRPr="006B79E9">
        <w:rPr>
          <w:rFonts w:cs="Arial"/>
          <w:szCs w:val="24"/>
        </w:rPr>
        <w:t xml:space="preserve"> adheres to current quality standards. The standards used are taken from </w:t>
      </w:r>
      <w:r>
        <w:rPr>
          <w:rFonts w:cs="Arial"/>
          <w:szCs w:val="24"/>
        </w:rPr>
        <w:t>United Kingdom Accreditation Service (UKAS) standards ISO 15189 and the Medicines &amp; Healthcare products Regulatory Agency (MHRA) guidance on the use of point of care test devices.</w:t>
      </w:r>
      <w:r w:rsidR="00DD4A95">
        <w:rPr>
          <w:rFonts w:cs="Arial"/>
          <w:szCs w:val="24"/>
        </w:rPr>
        <w:t xml:space="preserve"> Adherence to these frameworks ensures the highest quality of service for patients and healthcare professionals.</w:t>
      </w:r>
    </w:p>
    <w:p w:rsidR="00DD4A95" w:rsidP="00427AF3" w14:paraId="5A63A508" w14:textId="30D5104A">
      <w:pPr>
        <w:rPr>
          <w:rFonts w:cs="Arial"/>
          <w:szCs w:val="24"/>
        </w:rPr>
      </w:pPr>
      <w:r>
        <w:rPr>
          <w:rFonts w:cs="Arial"/>
          <w:szCs w:val="24"/>
        </w:rPr>
        <w:t xml:space="preserve">This policy is aimed at </w:t>
      </w:r>
    </w:p>
    <w:p w:rsidR="00DD4A95" w:rsidP="00DD4A95" w14:paraId="1010BEDF" w14:textId="2DB759C5">
      <w:pPr>
        <w:pStyle w:val="ListParagraph"/>
        <w:numPr>
          <w:ilvl w:val="0"/>
          <w:numId w:val="11"/>
        </w:numPr>
        <w:rPr>
          <w:rFonts w:cs="Arial"/>
          <w:szCs w:val="24"/>
        </w:rPr>
      </w:pPr>
      <w:r>
        <w:rPr>
          <w:rFonts w:cs="Arial"/>
          <w:szCs w:val="24"/>
        </w:rPr>
        <w:t>All employees of York &amp; Scarborough Teaching Hospitals NHS Foundation Trust who perform analytical tests for any patient outside the conventional laboratory setting (regardless of where the POCT device is used)</w:t>
      </w:r>
    </w:p>
    <w:p w:rsidR="00DD4A95" w:rsidP="00DD4A95" w14:paraId="68599896" w14:textId="2881D120">
      <w:pPr>
        <w:pStyle w:val="ListParagraph"/>
        <w:numPr>
          <w:ilvl w:val="0"/>
          <w:numId w:val="11"/>
        </w:numPr>
        <w:rPr>
          <w:rFonts w:cs="Arial"/>
          <w:szCs w:val="24"/>
        </w:rPr>
      </w:pPr>
      <w:r>
        <w:rPr>
          <w:rFonts w:cs="Arial"/>
          <w:szCs w:val="24"/>
        </w:rPr>
        <w:t>Trust employees or departments considering introduction of POCT</w:t>
      </w:r>
    </w:p>
    <w:p w:rsidR="00DD4A95" w:rsidP="00DD4A95" w14:paraId="22625ADD" w14:textId="1047A464">
      <w:pPr>
        <w:pStyle w:val="ListParagraph"/>
        <w:numPr>
          <w:ilvl w:val="0"/>
          <w:numId w:val="11"/>
        </w:numPr>
        <w:rPr>
          <w:rFonts w:cs="Arial"/>
          <w:szCs w:val="24"/>
        </w:rPr>
      </w:pPr>
      <w:r>
        <w:rPr>
          <w:rFonts w:cs="Arial"/>
          <w:szCs w:val="24"/>
        </w:rPr>
        <w:t>Scarborough Hull York Pathology</w:t>
      </w:r>
      <w:r w:rsidR="00C93348">
        <w:rPr>
          <w:rFonts w:cs="Arial"/>
          <w:szCs w:val="24"/>
        </w:rPr>
        <w:t xml:space="preserve"> network services (SHYPS) staff based at York, Scarborough or Bridlington sites.</w:t>
      </w:r>
    </w:p>
    <w:p w:rsidR="00A0019C" w:rsidP="00A0019C" w14:paraId="5752E8F0" w14:textId="77777777">
      <w:pPr>
        <w:rPr>
          <w:rFonts w:cs="Arial"/>
          <w:szCs w:val="24"/>
        </w:rPr>
      </w:pPr>
    </w:p>
    <w:p w:rsidR="00A0019C" w:rsidP="00A0019C" w14:paraId="58F3C4AA" w14:textId="78E07E1C">
      <w:pPr>
        <w:rPr>
          <w:rFonts w:cs="Arial"/>
          <w:szCs w:val="24"/>
        </w:rPr>
      </w:pPr>
      <w:r w:rsidRPr="00A0019C">
        <w:rPr>
          <w:rFonts w:cs="Arial"/>
          <w:szCs w:val="24"/>
        </w:rPr>
        <w:t xml:space="preserve">All POCT operators have a professional responsibility to ensure that their training, competency assessment and recertifications are up to date. </w:t>
      </w:r>
    </w:p>
    <w:p w:rsidR="00A0019C" w:rsidRPr="00A0019C" w:rsidP="00A0019C" w14:paraId="5A40B719" w14:textId="4EDE0667">
      <w:pPr>
        <w:rPr>
          <w:rFonts w:cs="Arial"/>
          <w:szCs w:val="24"/>
        </w:rPr>
      </w:pPr>
      <w:r>
        <w:rPr>
          <w:rFonts w:cs="Arial"/>
          <w:szCs w:val="24"/>
        </w:rPr>
        <w:t xml:space="preserve">Please refer to the Point </w:t>
      </w:r>
      <w:r>
        <w:rPr>
          <w:rFonts w:cs="Arial"/>
          <w:szCs w:val="24"/>
        </w:rPr>
        <w:t>Of</w:t>
      </w:r>
      <w:r>
        <w:rPr>
          <w:rFonts w:cs="Arial"/>
          <w:szCs w:val="24"/>
        </w:rPr>
        <w:t xml:space="preserve"> Care Testing Policy (PC/POL/YS-1) </w:t>
      </w:r>
      <w:r w:rsidR="00D51647">
        <w:rPr>
          <w:rFonts w:cs="Arial"/>
          <w:szCs w:val="24"/>
        </w:rPr>
        <w:t>for the use of POCT in York &amp; Scarborough NHS Foundation Trust</w:t>
      </w:r>
    </w:p>
    <w:p w:rsidR="00427AF3" w:rsidP="00427AF3" w14:paraId="3833656C" w14:textId="77777777">
      <w:pPr>
        <w:rPr>
          <w:rFonts w:cs="Arial"/>
          <w:szCs w:val="24"/>
        </w:rPr>
      </w:pPr>
    </w:p>
    <w:p w:rsidR="00D51647" w:rsidP="00427AF3" w14:paraId="12E932AE" w14:textId="77777777">
      <w:pPr>
        <w:rPr>
          <w:rFonts w:cs="Arial"/>
          <w:szCs w:val="24"/>
        </w:rPr>
      </w:pPr>
    </w:p>
    <w:p w:rsidR="006F71C0" w:rsidRPr="00427AF3" w:rsidP="006F71C0" w14:paraId="67FA7674" w14:textId="00012D3A">
      <w:pPr>
        <w:pStyle w:val="Heading1"/>
      </w:pPr>
      <w:bookmarkStart w:id="9" w:name="_Toc256000001"/>
      <w:r w:rsidRPr="00897607">
        <w:t xml:space="preserve">Abbreviations and </w:t>
      </w:r>
      <w:r w:rsidRPr="00897607">
        <w:t>Definitions</w:t>
      </w:r>
      <w:bookmarkEnd w:id="9"/>
      <w:bookmarkStart w:id="10" w:name="_Toc213598300"/>
      <w:bookmarkStart w:id="11" w:name="_Toc213598526"/>
      <w:bookmarkEnd w:id="5"/>
      <w:bookmarkEnd w:id="6"/>
      <w:bookmarkEnd w:id="7"/>
      <w:bookmarkEnd w:id="8"/>
    </w:p>
    <w:tbl>
      <w:tblPr>
        <w:tblStyle w:val="TableGrid1"/>
        <w:tblW w:w="9923" w:type="dxa"/>
        <w:tblInd w:w="-34" w:type="dxa"/>
        <w:tblLook w:val="04A0"/>
      </w:tblPr>
      <w:tblGrid>
        <w:gridCol w:w="3672"/>
        <w:gridCol w:w="6231"/>
      </w:tblGrid>
      <w:tr w14:paraId="4C83FD03" w14:textId="77777777" w:rsidTr="00F72E17">
        <w:tblPrEx>
          <w:tblW w:w="9923" w:type="dxa"/>
          <w:tblInd w:w="-34" w:type="dxa"/>
          <w:tblLook w:val="04A0"/>
        </w:tblPrEx>
        <w:tc>
          <w:tcPr>
            <w:tcW w:w="3908" w:type="dxa"/>
            <w:shd w:val="clear" w:color="auto" w:fill="4F81BD" w:themeFill="accent1"/>
          </w:tcPr>
          <w:p w:rsidR="00427AF3" w:rsidRPr="00E54054" w:rsidP="00F72E17" w14:paraId="6B20FE58" w14:textId="77777777">
            <w:pPr>
              <w:spacing w:before="29" w:after="0" w:line="230" w:lineRule="exact"/>
              <w:jc w:val="both"/>
              <w:rPr>
                <w:rFonts w:cs="Arial"/>
                <w:b/>
                <w:color w:val="000000"/>
                <w:spacing w:val="1"/>
                <w:sz w:val="20"/>
                <w:lang w:eastAsia="en-GB"/>
              </w:rPr>
            </w:pPr>
            <w:r>
              <w:rPr>
                <w:rFonts w:cs="Arial"/>
                <w:b/>
                <w:color w:val="000000"/>
                <w:spacing w:val="1"/>
                <w:sz w:val="20"/>
                <w:lang w:eastAsia="en-GB"/>
              </w:rPr>
              <w:t xml:space="preserve">Definition/ </w:t>
            </w:r>
            <w:r w:rsidRPr="00E54054">
              <w:rPr>
                <w:rFonts w:cs="Arial"/>
                <w:b/>
                <w:color w:val="000000"/>
                <w:spacing w:val="1"/>
                <w:sz w:val="20"/>
                <w:lang w:eastAsia="en-GB"/>
              </w:rPr>
              <w:t>Abbreviation</w:t>
            </w:r>
          </w:p>
        </w:tc>
        <w:tc>
          <w:tcPr>
            <w:tcW w:w="6015" w:type="dxa"/>
            <w:shd w:val="clear" w:color="auto" w:fill="4F81BD" w:themeFill="accent1"/>
          </w:tcPr>
          <w:p w:rsidR="00427AF3" w:rsidRPr="00E54054" w:rsidP="00F72E17" w14:paraId="6BCA574C" w14:textId="77777777">
            <w:pPr>
              <w:spacing w:before="29" w:after="0" w:line="230" w:lineRule="exact"/>
              <w:jc w:val="both"/>
              <w:rPr>
                <w:rFonts w:cs="Arial"/>
                <w:b/>
                <w:color w:val="000000"/>
                <w:spacing w:val="1"/>
                <w:sz w:val="20"/>
                <w:lang w:eastAsia="en-GB"/>
              </w:rPr>
            </w:pPr>
            <w:r>
              <w:rPr>
                <w:rFonts w:cs="Arial"/>
                <w:b/>
                <w:color w:val="000000"/>
                <w:spacing w:val="1"/>
                <w:sz w:val="20"/>
                <w:lang w:eastAsia="en-GB"/>
              </w:rPr>
              <w:t>Expansion/ Meaning</w:t>
            </w:r>
          </w:p>
        </w:tc>
      </w:tr>
      <w:tr w14:paraId="58629AD6" w14:textId="77777777" w:rsidTr="00F72E17">
        <w:tblPrEx>
          <w:tblW w:w="9923" w:type="dxa"/>
          <w:tblInd w:w="-34" w:type="dxa"/>
          <w:tblLook w:val="04A0"/>
        </w:tblPrEx>
        <w:tc>
          <w:tcPr>
            <w:tcW w:w="3908" w:type="dxa"/>
          </w:tcPr>
          <w:p w:rsidR="00427AF3" w:rsidRPr="00E54054" w:rsidP="00F72E17" w14:paraId="7E8E4669" w14:textId="77777777">
            <w:pPr>
              <w:spacing w:before="29" w:after="0" w:line="230" w:lineRule="exact"/>
              <w:jc w:val="both"/>
              <w:rPr>
                <w:rFonts w:cs="Arial"/>
                <w:color w:val="000000"/>
                <w:spacing w:val="1"/>
                <w:sz w:val="20"/>
                <w:lang w:eastAsia="en-GB"/>
              </w:rPr>
            </w:pPr>
            <w:r>
              <w:rPr>
                <w:rFonts w:cs="Arial"/>
                <w:color w:val="000000"/>
                <w:spacing w:val="1"/>
                <w:sz w:val="20"/>
                <w:lang w:eastAsia="en-GB"/>
              </w:rPr>
              <w:t>POCT</w:t>
            </w:r>
          </w:p>
        </w:tc>
        <w:tc>
          <w:tcPr>
            <w:tcW w:w="6015" w:type="dxa"/>
          </w:tcPr>
          <w:p w:rsidR="00427AF3" w:rsidRPr="00E54054" w:rsidP="00F72E17" w14:paraId="333020AF" w14:textId="77777777">
            <w:pPr>
              <w:spacing w:before="29" w:after="0" w:line="230" w:lineRule="exact"/>
              <w:jc w:val="both"/>
              <w:rPr>
                <w:rFonts w:cs="Arial"/>
                <w:sz w:val="20"/>
                <w:szCs w:val="24"/>
              </w:rPr>
            </w:pPr>
            <w:r>
              <w:rPr>
                <w:rFonts w:cs="Arial"/>
                <w:sz w:val="20"/>
                <w:szCs w:val="24"/>
              </w:rPr>
              <w:t>Point of Care Testing</w:t>
            </w:r>
          </w:p>
        </w:tc>
      </w:tr>
      <w:tr w14:paraId="4ADCCA2A" w14:textId="77777777" w:rsidTr="00F72E17">
        <w:tblPrEx>
          <w:tblW w:w="9923" w:type="dxa"/>
          <w:tblInd w:w="-34" w:type="dxa"/>
          <w:tblLook w:val="04A0"/>
        </w:tblPrEx>
        <w:tc>
          <w:tcPr>
            <w:tcW w:w="3908" w:type="dxa"/>
          </w:tcPr>
          <w:p w:rsidR="00427AF3" w:rsidP="00F72E17" w14:paraId="59DAE599" w14:textId="77777777">
            <w:pPr>
              <w:spacing w:before="29" w:after="0" w:line="230" w:lineRule="exact"/>
              <w:jc w:val="both"/>
              <w:rPr>
                <w:rFonts w:cs="Arial"/>
                <w:color w:val="000000"/>
                <w:spacing w:val="1"/>
                <w:sz w:val="20"/>
                <w:lang w:eastAsia="en-GB"/>
              </w:rPr>
            </w:pPr>
            <w:r>
              <w:rPr>
                <w:rFonts w:cs="Arial"/>
                <w:color w:val="000000"/>
                <w:spacing w:val="1"/>
                <w:sz w:val="20"/>
                <w:lang w:eastAsia="en-GB"/>
              </w:rPr>
              <w:t>UKAS</w:t>
            </w:r>
          </w:p>
        </w:tc>
        <w:tc>
          <w:tcPr>
            <w:tcW w:w="6015" w:type="dxa"/>
          </w:tcPr>
          <w:p w:rsidR="00427AF3" w:rsidP="00F72E17" w14:paraId="3DA700F7" w14:textId="77777777">
            <w:pPr>
              <w:spacing w:before="29" w:after="0" w:line="230" w:lineRule="exact"/>
              <w:jc w:val="both"/>
              <w:rPr>
                <w:rFonts w:cs="Arial"/>
                <w:sz w:val="20"/>
                <w:szCs w:val="24"/>
              </w:rPr>
            </w:pPr>
            <w:r>
              <w:rPr>
                <w:rFonts w:cs="Arial"/>
                <w:sz w:val="20"/>
                <w:szCs w:val="24"/>
              </w:rPr>
              <w:t>United Kingdom Accreditation Services</w:t>
            </w:r>
          </w:p>
        </w:tc>
      </w:tr>
      <w:tr w14:paraId="7AB87AEF" w14:textId="77777777" w:rsidTr="00F72E17">
        <w:tblPrEx>
          <w:tblW w:w="9923" w:type="dxa"/>
          <w:tblInd w:w="-34" w:type="dxa"/>
          <w:tblLook w:val="04A0"/>
        </w:tblPrEx>
        <w:tc>
          <w:tcPr>
            <w:tcW w:w="3908" w:type="dxa"/>
          </w:tcPr>
          <w:p w:rsidR="00427AF3" w:rsidP="00F72E17" w14:paraId="13447D36" w14:textId="77777777">
            <w:pPr>
              <w:spacing w:before="29" w:after="0" w:line="230" w:lineRule="exact"/>
              <w:jc w:val="both"/>
              <w:rPr>
                <w:rFonts w:cs="Arial"/>
                <w:color w:val="000000"/>
                <w:spacing w:val="1"/>
                <w:sz w:val="20"/>
                <w:lang w:eastAsia="en-GB"/>
              </w:rPr>
            </w:pPr>
            <w:r>
              <w:rPr>
                <w:rFonts w:cs="Arial"/>
                <w:color w:val="000000"/>
                <w:spacing w:val="1"/>
                <w:sz w:val="20"/>
                <w:lang w:eastAsia="en-GB"/>
              </w:rPr>
              <w:t>MHRA</w:t>
            </w:r>
          </w:p>
        </w:tc>
        <w:tc>
          <w:tcPr>
            <w:tcW w:w="6015" w:type="dxa"/>
          </w:tcPr>
          <w:p w:rsidR="00427AF3" w:rsidP="00F72E17" w14:paraId="45842CD3" w14:textId="77777777">
            <w:pPr>
              <w:spacing w:before="29" w:after="0" w:line="230" w:lineRule="exact"/>
              <w:jc w:val="both"/>
              <w:rPr>
                <w:rFonts w:cs="Arial"/>
                <w:sz w:val="20"/>
                <w:szCs w:val="24"/>
              </w:rPr>
            </w:pPr>
            <w:r>
              <w:rPr>
                <w:rFonts w:cs="Arial"/>
                <w:sz w:val="20"/>
                <w:szCs w:val="24"/>
              </w:rPr>
              <w:t>Medicines &amp; Healthcare products Regulatory Agency</w:t>
            </w:r>
          </w:p>
        </w:tc>
      </w:tr>
      <w:tr w14:paraId="5E46E37F" w14:textId="77777777" w:rsidTr="00F72E17">
        <w:tblPrEx>
          <w:tblW w:w="9923" w:type="dxa"/>
          <w:tblInd w:w="-34" w:type="dxa"/>
          <w:tblLook w:val="04A0"/>
        </w:tblPrEx>
        <w:tc>
          <w:tcPr>
            <w:tcW w:w="3908" w:type="dxa"/>
          </w:tcPr>
          <w:p w:rsidR="00427AF3" w:rsidP="00F72E17" w14:paraId="12510C54" w14:textId="77777777">
            <w:pPr>
              <w:spacing w:before="29" w:after="0" w:line="230" w:lineRule="exact"/>
              <w:jc w:val="both"/>
              <w:rPr>
                <w:rFonts w:cs="Arial"/>
                <w:color w:val="000000"/>
                <w:spacing w:val="1"/>
                <w:sz w:val="20"/>
                <w:lang w:eastAsia="en-GB"/>
              </w:rPr>
            </w:pPr>
            <w:r>
              <w:rPr>
                <w:rFonts w:cs="Arial"/>
                <w:color w:val="000000"/>
                <w:spacing w:val="1"/>
                <w:sz w:val="20"/>
                <w:lang w:eastAsia="en-GB"/>
              </w:rPr>
              <w:t>EQA</w:t>
            </w:r>
          </w:p>
        </w:tc>
        <w:tc>
          <w:tcPr>
            <w:tcW w:w="6015" w:type="dxa"/>
          </w:tcPr>
          <w:p w:rsidR="00427AF3" w:rsidP="00F72E17" w14:paraId="4A529C66" w14:textId="77777777">
            <w:pPr>
              <w:spacing w:before="29" w:after="0" w:line="230" w:lineRule="exact"/>
              <w:jc w:val="both"/>
              <w:rPr>
                <w:rFonts w:cs="Arial"/>
                <w:sz w:val="20"/>
                <w:szCs w:val="24"/>
              </w:rPr>
            </w:pPr>
            <w:r>
              <w:rPr>
                <w:rFonts w:cs="Arial"/>
                <w:sz w:val="20"/>
                <w:szCs w:val="24"/>
              </w:rPr>
              <w:t>External Quality Assurance</w:t>
            </w:r>
          </w:p>
        </w:tc>
      </w:tr>
      <w:tr w14:paraId="4CEB55D5" w14:textId="77777777" w:rsidTr="00F72E17">
        <w:tblPrEx>
          <w:tblW w:w="9923" w:type="dxa"/>
          <w:tblInd w:w="-34" w:type="dxa"/>
          <w:tblLook w:val="04A0"/>
        </w:tblPrEx>
        <w:tc>
          <w:tcPr>
            <w:tcW w:w="3908" w:type="dxa"/>
          </w:tcPr>
          <w:p w:rsidR="00427AF3" w:rsidRPr="00C62E55" w:rsidP="00F72E17" w14:paraId="6092754C" w14:textId="77777777">
            <w:pPr>
              <w:spacing w:before="29" w:after="0" w:line="230" w:lineRule="exact"/>
              <w:jc w:val="both"/>
              <w:rPr>
                <w:rFonts w:cs="Arial"/>
                <w:color w:val="000000"/>
                <w:spacing w:val="1"/>
                <w:sz w:val="20"/>
                <w:lang w:eastAsia="en-GB"/>
              </w:rPr>
            </w:pPr>
            <w:r w:rsidRPr="00C62E55">
              <w:rPr>
                <w:rFonts w:cs="Arial"/>
                <w:color w:val="000000"/>
                <w:spacing w:val="1"/>
                <w:sz w:val="20"/>
                <w:lang w:eastAsia="en-GB"/>
              </w:rPr>
              <w:t>ISO15189</w:t>
            </w:r>
          </w:p>
        </w:tc>
        <w:tc>
          <w:tcPr>
            <w:tcW w:w="6015" w:type="dxa"/>
          </w:tcPr>
          <w:p w:rsidR="00427AF3" w:rsidRPr="00C62E55" w:rsidP="00F72E17" w14:paraId="6DAACF9B" w14:textId="77777777">
            <w:pPr>
              <w:spacing w:before="29" w:after="0" w:line="230" w:lineRule="exact"/>
              <w:jc w:val="both"/>
              <w:rPr>
                <w:rFonts w:cs="Arial"/>
                <w:color w:val="000000"/>
                <w:spacing w:val="1"/>
                <w:sz w:val="20"/>
                <w:lang w:eastAsia="en-GB"/>
              </w:rPr>
            </w:pPr>
            <w:r w:rsidRPr="00C62E55">
              <w:rPr>
                <w:rFonts w:cs="Arial"/>
                <w:color w:val="000000"/>
                <w:spacing w:val="1"/>
                <w:sz w:val="20"/>
                <w:lang w:eastAsia="en-GB"/>
              </w:rPr>
              <w:t xml:space="preserve">BS EN ISO15189: 2022 Medical laboratories - Requirements for quality and competence </w:t>
            </w:r>
          </w:p>
        </w:tc>
      </w:tr>
    </w:tbl>
    <w:p w:rsidR="00E54054" w:rsidP="00E54054" w14:paraId="38F3005A" w14:textId="77777777">
      <w:pPr>
        <w:rPr>
          <w:rFonts w:cs="Arial"/>
          <w:szCs w:val="24"/>
        </w:rPr>
      </w:pPr>
    </w:p>
    <w:p w:rsidR="00D51647" w:rsidRPr="00897607" w:rsidP="00E54054" w14:paraId="78194EF7" w14:textId="77777777">
      <w:pPr>
        <w:rPr>
          <w:rFonts w:cs="Arial"/>
          <w:szCs w:val="24"/>
        </w:rPr>
      </w:pPr>
    </w:p>
    <w:p w:rsidR="006F71C0" w:rsidRPr="00897607" w:rsidP="006F71C0" w14:paraId="5D6155A2" w14:textId="77777777">
      <w:pPr>
        <w:pStyle w:val="Heading1"/>
      </w:pPr>
      <w:bookmarkStart w:id="12" w:name="_Toc256000002"/>
      <w:r w:rsidRPr="00897607">
        <w:t>Tasks</w:t>
      </w:r>
      <w:r w:rsidRPr="00897607" w:rsidR="007407DF">
        <w:t>, responsibilities and authorisation</w:t>
      </w:r>
      <w:bookmarkEnd w:id="12"/>
    </w:p>
    <w:p w:rsidR="00E54054" w:rsidP="006F71C0" w14:paraId="7779C737" w14:textId="58B534A6">
      <w:pPr>
        <w:rPr>
          <w:rFonts w:cs="Arial"/>
          <w:szCs w:val="24"/>
        </w:rPr>
      </w:pPr>
      <w:r w:rsidRPr="005C5DA6">
        <w:rPr>
          <w:rFonts w:cs="Arial"/>
          <w:szCs w:val="24"/>
        </w:rPr>
        <w:t>All staff required to use any POCT equipment as part of their</w:t>
      </w:r>
      <w:r>
        <w:rPr>
          <w:rFonts w:cs="Arial"/>
          <w:szCs w:val="24"/>
        </w:rPr>
        <w:t xml:space="preserve"> clinical/laboratory-based role, including all members of the POCT team, are covered by this policy. For overall responsibility of oversight of training see the </w:t>
      </w:r>
      <w:r w:rsidRPr="00030CE4">
        <w:rPr>
          <w:rFonts w:cs="Arial"/>
          <w:szCs w:val="24"/>
        </w:rPr>
        <w:t>SHYPS Training, Education &amp; Development Policy</w:t>
      </w:r>
      <w:r>
        <w:rPr>
          <w:rFonts w:cs="Arial"/>
          <w:szCs w:val="24"/>
        </w:rPr>
        <w:t xml:space="preserve"> </w:t>
      </w:r>
      <w:r w:rsidR="003C5DFC">
        <w:rPr>
          <w:rFonts w:cs="Arial"/>
          <w:szCs w:val="24"/>
        </w:rPr>
        <w:t>(</w:t>
      </w:r>
      <w:r w:rsidRPr="00030CE4">
        <w:rPr>
          <w:rFonts w:cs="Arial"/>
          <w:szCs w:val="24"/>
        </w:rPr>
        <w:t>NT/POL/SHY-1</w:t>
      </w:r>
      <w:r w:rsidR="003C5DFC">
        <w:rPr>
          <w:rFonts w:cs="Arial"/>
          <w:szCs w:val="24"/>
        </w:rPr>
        <w:t>)</w:t>
      </w:r>
      <w:r>
        <w:rPr>
          <w:rFonts w:cs="Arial"/>
          <w:szCs w:val="24"/>
        </w:rPr>
        <w:t>.</w:t>
      </w:r>
    </w:p>
    <w:p w:rsidR="00F0414C" w:rsidP="006F71C0" w14:paraId="3237EA49" w14:textId="77777777">
      <w:pPr>
        <w:rPr>
          <w:rFonts w:cs="Arial"/>
          <w:szCs w:val="24"/>
        </w:rPr>
      </w:pPr>
    </w:p>
    <w:p w:rsidR="00D51647" w:rsidP="006F71C0" w14:paraId="6F85DF54" w14:textId="77777777">
      <w:pPr>
        <w:rPr>
          <w:rFonts w:cs="Arial"/>
          <w:szCs w:val="24"/>
        </w:rPr>
      </w:pPr>
    </w:p>
    <w:p w:rsidR="00D51647" w:rsidP="006F71C0" w14:paraId="7D76E15E" w14:textId="77777777">
      <w:pPr>
        <w:rPr>
          <w:rFonts w:cs="Arial"/>
          <w:szCs w:val="24"/>
        </w:rPr>
      </w:pPr>
    </w:p>
    <w:p w:rsidR="00D51647" w:rsidP="006F71C0" w14:paraId="1C3FECC8" w14:textId="77777777">
      <w:pPr>
        <w:rPr>
          <w:rFonts w:cs="Arial"/>
          <w:szCs w:val="24"/>
        </w:rPr>
      </w:pPr>
    </w:p>
    <w:p w:rsidR="00D51647" w:rsidRPr="00427AF3" w:rsidP="006F71C0" w14:paraId="75F3E903" w14:textId="77777777">
      <w:pPr>
        <w:rPr>
          <w:rFonts w:cs="Arial"/>
          <w:szCs w:val="24"/>
        </w:rPr>
      </w:pPr>
    </w:p>
    <w:p w:rsidR="00404FFF" w:rsidP="00404FFF" w14:paraId="15DC7ED8" w14:textId="77777777">
      <w:pPr>
        <w:pStyle w:val="Heading1"/>
      </w:pPr>
      <w:bookmarkStart w:id="13" w:name="_Toc213598302"/>
      <w:bookmarkStart w:id="14" w:name="_Toc213598528"/>
      <w:bookmarkStart w:id="15" w:name="_Toc256000003"/>
      <w:r w:rsidRPr="00897607">
        <w:t>Main Content</w:t>
      </w:r>
      <w:bookmarkEnd w:id="15"/>
    </w:p>
    <w:p w:rsidR="00505B71" w:rsidRPr="00505B71" w:rsidP="00505B71" w14:paraId="66973860" w14:textId="6CAE39DE">
      <w:pPr>
        <w:rPr>
          <w:lang w:val="en-US"/>
        </w:rPr>
      </w:pPr>
      <w:r>
        <w:rPr>
          <w:lang w:val="en-US"/>
        </w:rPr>
        <w:t xml:space="preserve">POCT </w:t>
      </w:r>
      <w:r>
        <w:rPr>
          <w:lang w:val="en-US"/>
        </w:rPr>
        <w:t>organise</w:t>
      </w:r>
      <w:r>
        <w:rPr>
          <w:lang w:val="en-US"/>
        </w:rPr>
        <w:t xml:space="preserve"> regular training for operators to book onto and attend. POCT aim to make themselves available for ad hoc and on the ward training where required. </w:t>
      </w:r>
    </w:p>
    <w:p w:rsidR="00427AF3" w:rsidRPr="007E1AAF" w:rsidP="007E1AAF" w14:paraId="1551E563" w14:textId="444904E8">
      <w:pPr>
        <w:pStyle w:val="Heading2"/>
      </w:pPr>
      <w:bookmarkStart w:id="16" w:name="_Toc256000004"/>
      <w:r w:rsidRPr="007E1AAF">
        <w:t>Initial Operator Training</w:t>
      </w:r>
      <w:bookmarkEnd w:id="16"/>
    </w:p>
    <w:p w:rsidR="004801E6" w:rsidRPr="00025E1C" w:rsidP="004801E6" w14:paraId="577635ED" w14:textId="77777777">
      <w:pPr>
        <w:rPr>
          <w:szCs w:val="22"/>
          <w:lang w:val="en-US"/>
        </w:rPr>
      </w:pPr>
      <w:r w:rsidRPr="00025E1C">
        <w:rPr>
          <w:szCs w:val="22"/>
          <w:lang w:val="en-US"/>
        </w:rPr>
        <w:t>Training must be carried out before any operator is able, and given access, to use any POCT equipment in a clinical setting. This initial training should always be a face-to-face session from a suitably qualified person:</w:t>
      </w:r>
    </w:p>
    <w:p w:rsidR="004801E6" w:rsidRPr="00025E1C" w:rsidP="004801E6" w14:paraId="6CFFB6E9" w14:textId="77777777">
      <w:pPr>
        <w:pStyle w:val="ListParagraph"/>
        <w:numPr>
          <w:ilvl w:val="0"/>
          <w:numId w:val="5"/>
        </w:numPr>
        <w:spacing w:line="360" w:lineRule="auto"/>
        <w:rPr>
          <w:i/>
          <w:szCs w:val="22"/>
          <w:lang w:val="en-US"/>
        </w:rPr>
      </w:pPr>
      <w:r w:rsidRPr="00025E1C">
        <w:rPr>
          <w:szCs w:val="22"/>
          <w:lang w:val="en-US"/>
        </w:rPr>
        <w:t xml:space="preserve">A member of the POCT team – </w:t>
      </w:r>
      <w:r w:rsidRPr="00025E1C">
        <w:rPr>
          <w:i/>
          <w:szCs w:val="22"/>
          <w:lang w:val="en-US"/>
        </w:rPr>
        <w:t>trained and competent to hold training sessions as per Intermediate Tasks for POCT staff</w:t>
      </w:r>
    </w:p>
    <w:p w:rsidR="004801E6" w:rsidRPr="00025E1C" w:rsidP="004801E6" w14:paraId="2919057A" w14:textId="77777777">
      <w:pPr>
        <w:pStyle w:val="ListParagraph"/>
        <w:numPr>
          <w:ilvl w:val="0"/>
          <w:numId w:val="5"/>
        </w:numPr>
        <w:spacing w:line="360" w:lineRule="auto"/>
        <w:rPr>
          <w:szCs w:val="22"/>
          <w:lang w:val="en-US"/>
        </w:rPr>
      </w:pPr>
      <w:r w:rsidRPr="00025E1C">
        <w:rPr>
          <w:szCs w:val="22"/>
          <w:lang w:val="en-US"/>
        </w:rPr>
        <w:t>A company representative for the equipment</w:t>
      </w:r>
    </w:p>
    <w:p w:rsidR="009739DA" w:rsidP="004801E6" w14:paraId="0100DAB7" w14:textId="77777777">
      <w:pPr>
        <w:pStyle w:val="ListParagraph"/>
        <w:numPr>
          <w:ilvl w:val="0"/>
          <w:numId w:val="5"/>
        </w:numPr>
        <w:spacing w:line="360" w:lineRule="auto"/>
        <w:rPr>
          <w:i/>
          <w:szCs w:val="22"/>
          <w:lang w:val="en-US"/>
        </w:rPr>
      </w:pPr>
      <w:r w:rsidRPr="00025E1C">
        <w:rPr>
          <w:szCs w:val="22"/>
          <w:lang w:val="en-US"/>
        </w:rPr>
        <w:t xml:space="preserve">A link trainer – </w:t>
      </w:r>
      <w:r w:rsidRPr="00025E1C">
        <w:rPr>
          <w:i/>
          <w:szCs w:val="22"/>
          <w:lang w:val="en-US"/>
        </w:rPr>
        <w:t xml:space="preserve">with a signed link trainer agreement </w:t>
      </w:r>
      <w:r w:rsidRPr="009739DA">
        <w:rPr>
          <w:i/>
          <w:szCs w:val="22"/>
          <w:lang w:val="en-US"/>
        </w:rPr>
        <w:t>(</w:t>
      </w:r>
      <w:r w:rsidRPr="009739DA">
        <w:rPr>
          <w:i/>
          <w:szCs w:val="22"/>
          <w:lang w:val="en-US"/>
        </w:rPr>
        <w:t>PC/FOR/YS-18</w:t>
      </w:r>
      <w:r w:rsidRPr="009739DA">
        <w:rPr>
          <w:i/>
          <w:szCs w:val="22"/>
          <w:lang w:val="en-US"/>
        </w:rPr>
        <w:t xml:space="preserve">) </w:t>
      </w:r>
    </w:p>
    <w:p w:rsidR="009739DA" w:rsidRPr="009739DA" w:rsidP="009739DA" w14:paraId="524BF97C" w14:textId="275AA8D0">
      <w:pPr>
        <w:pStyle w:val="ListParagraph"/>
        <w:numPr>
          <w:ilvl w:val="1"/>
          <w:numId w:val="5"/>
        </w:numPr>
        <w:spacing w:line="360" w:lineRule="auto"/>
        <w:rPr>
          <w:i/>
          <w:iCs/>
          <w:szCs w:val="22"/>
          <w:lang w:val="en-US"/>
        </w:rPr>
      </w:pPr>
      <w:r w:rsidRPr="009739DA">
        <w:rPr>
          <w:i/>
          <w:iCs/>
          <w:szCs w:val="22"/>
          <w:lang w:val="en-US"/>
        </w:rPr>
        <w:t>Link trainer agreements are stored on X: Drive &gt; Biochemistry &gt; POCT &gt; Training Records.</w:t>
      </w:r>
    </w:p>
    <w:p w:rsidR="009739DA" w:rsidRPr="009739DA" w:rsidP="009739DA" w14:paraId="6861F18F" w14:textId="1D0236B5">
      <w:pPr>
        <w:pStyle w:val="ListParagraph"/>
        <w:numPr>
          <w:ilvl w:val="1"/>
          <w:numId w:val="5"/>
        </w:numPr>
        <w:spacing w:line="360" w:lineRule="auto"/>
        <w:rPr>
          <w:i/>
          <w:iCs/>
          <w:szCs w:val="22"/>
          <w:lang w:val="en-US"/>
        </w:rPr>
      </w:pPr>
      <w:r w:rsidRPr="009739DA">
        <w:rPr>
          <w:i/>
          <w:iCs/>
          <w:szCs w:val="22"/>
          <w:lang w:val="en-US"/>
        </w:rPr>
        <w:t xml:space="preserve">Link </w:t>
      </w:r>
      <w:r>
        <w:rPr>
          <w:i/>
          <w:iCs/>
          <w:szCs w:val="22"/>
          <w:lang w:val="en-US"/>
        </w:rPr>
        <w:t xml:space="preserve">trainer database: </w:t>
      </w:r>
      <w:hyperlink r:id="rId9" w:anchor="gid=0" w:history="1">
        <w:r w:rsidRPr="009739DA">
          <w:rPr>
            <w:rStyle w:val="Hyperlink"/>
            <w:i/>
            <w:iCs/>
            <w:szCs w:val="22"/>
          </w:rPr>
          <w:t>Link trainer database - Google Sheets</w:t>
        </w:r>
      </w:hyperlink>
    </w:p>
    <w:p w:rsidR="009739DA" w:rsidRPr="009739DA" w:rsidP="009739DA" w14:paraId="5493A21B" w14:textId="66D62BA4">
      <w:pPr>
        <w:pStyle w:val="ListParagraph"/>
        <w:numPr>
          <w:ilvl w:val="1"/>
          <w:numId w:val="5"/>
        </w:numPr>
        <w:spacing w:line="360" w:lineRule="auto"/>
        <w:rPr>
          <w:i/>
          <w:iCs/>
          <w:szCs w:val="22"/>
          <w:lang w:val="en-US"/>
        </w:rPr>
      </w:pPr>
      <w:r>
        <w:rPr>
          <w:i/>
          <w:iCs/>
          <w:szCs w:val="22"/>
          <w:lang w:val="en-US"/>
        </w:rPr>
        <w:t>All link trainers are</w:t>
      </w:r>
      <w:r w:rsidRPr="009739DA">
        <w:rPr>
          <w:i/>
          <w:iCs/>
          <w:szCs w:val="22"/>
          <w:lang w:val="en-US"/>
        </w:rPr>
        <w:t xml:space="preserve"> reviewed every 2 years</w:t>
      </w:r>
    </w:p>
    <w:p w:rsidR="009739DA" w:rsidRPr="00774595" w:rsidP="00774595" w14:paraId="325A9AE1" w14:textId="5FAC5206">
      <w:pPr>
        <w:pStyle w:val="ListParagraph"/>
        <w:numPr>
          <w:ilvl w:val="1"/>
          <w:numId w:val="5"/>
        </w:numPr>
        <w:spacing w:line="360" w:lineRule="auto"/>
        <w:rPr>
          <w:i/>
          <w:iCs/>
          <w:szCs w:val="22"/>
          <w:lang w:val="en-US"/>
        </w:rPr>
      </w:pPr>
      <w:r>
        <w:rPr>
          <w:i/>
          <w:iCs/>
          <w:szCs w:val="22"/>
          <w:lang w:val="en-US"/>
        </w:rPr>
        <w:t>POCT l</w:t>
      </w:r>
      <w:r w:rsidRPr="009739DA">
        <w:rPr>
          <w:i/>
          <w:iCs/>
          <w:szCs w:val="22"/>
          <w:lang w:val="en-US"/>
        </w:rPr>
        <w:t>ink trainer audit aims to assess quality of our link trainers over time</w:t>
      </w:r>
    </w:p>
    <w:p w:rsidR="004801E6" w:rsidRPr="00025E1C" w:rsidP="004801E6" w14:paraId="7191AA7E" w14:textId="77777777">
      <w:pPr>
        <w:rPr>
          <w:szCs w:val="22"/>
          <w:lang w:val="en-US"/>
        </w:rPr>
      </w:pPr>
      <w:r w:rsidRPr="00025E1C">
        <w:rPr>
          <w:szCs w:val="22"/>
          <w:lang w:val="en-US"/>
        </w:rPr>
        <w:t>The training session must be formatted to include key points as outlined here:</w:t>
      </w:r>
    </w:p>
    <w:p w:rsidR="004801E6" w:rsidRPr="00025E1C" w:rsidP="004801E6" w14:paraId="7C469BA8" w14:textId="77777777">
      <w:pPr>
        <w:pStyle w:val="ListParagraph"/>
        <w:numPr>
          <w:ilvl w:val="0"/>
          <w:numId w:val="6"/>
        </w:numPr>
        <w:spacing w:line="360" w:lineRule="auto"/>
        <w:rPr>
          <w:szCs w:val="22"/>
          <w:lang w:val="en-US"/>
        </w:rPr>
      </w:pPr>
      <w:r w:rsidRPr="00025E1C">
        <w:rPr>
          <w:szCs w:val="22"/>
          <w:lang w:val="en-US"/>
        </w:rPr>
        <w:t>Sample collection and pre-analytics</w:t>
      </w:r>
    </w:p>
    <w:p w:rsidR="004801E6" w:rsidRPr="00025E1C" w:rsidP="004801E6" w14:paraId="3BCE6DD9" w14:textId="77777777">
      <w:pPr>
        <w:pStyle w:val="ListParagraph"/>
        <w:numPr>
          <w:ilvl w:val="0"/>
          <w:numId w:val="6"/>
        </w:numPr>
        <w:spacing w:line="360" w:lineRule="auto"/>
        <w:rPr>
          <w:szCs w:val="22"/>
          <w:lang w:val="en-US"/>
        </w:rPr>
      </w:pPr>
      <w:r w:rsidRPr="00025E1C">
        <w:rPr>
          <w:szCs w:val="22"/>
          <w:lang w:val="en-US"/>
        </w:rPr>
        <w:t>Clinical use and limitations</w:t>
      </w:r>
    </w:p>
    <w:p w:rsidR="004801E6" w:rsidRPr="00025E1C" w:rsidP="004801E6" w14:paraId="7958F45F" w14:textId="77777777">
      <w:pPr>
        <w:pStyle w:val="ListParagraph"/>
        <w:numPr>
          <w:ilvl w:val="0"/>
          <w:numId w:val="6"/>
        </w:numPr>
        <w:spacing w:line="360" w:lineRule="auto"/>
        <w:rPr>
          <w:szCs w:val="22"/>
          <w:lang w:val="en-US"/>
        </w:rPr>
      </w:pPr>
      <w:r w:rsidRPr="00025E1C">
        <w:rPr>
          <w:szCs w:val="22"/>
          <w:lang w:val="en-US"/>
        </w:rPr>
        <w:t>Expertise in the analytical process</w:t>
      </w:r>
    </w:p>
    <w:p w:rsidR="004801E6" w:rsidRPr="00025E1C" w:rsidP="004801E6" w14:paraId="64A3D8D8" w14:textId="77777777">
      <w:pPr>
        <w:pStyle w:val="ListParagraph"/>
        <w:numPr>
          <w:ilvl w:val="0"/>
          <w:numId w:val="6"/>
        </w:numPr>
        <w:spacing w:line="360" w:lineRule="auto"/>
        <w:rPr>
          <w:szCs w:val="22"/>
          <w:lang w:val="en-US"/>
        </w:rPr>
      </w:pPr>
      <w:r w:rsidRPr="00025E1C">
        <w:rPr>
          <w:szCs w:val="22"/>
          <w:lang w:val="en-US"/>
        </w:rPr>
        <w:t>Reagent storage</w:t>
      </w:r>
    </w:p>
    <w:p w:rsidR="004801E6" w:rsidRPr="00025E1C" w:rsidP="004801E6" w14:paraId="7CC2CBE1" w14:textId="77777777">
      <w:pPr>
        <w:pStyle w:val="ListParagraph"/>
        <w:numPr>
          <w:ilvl w:val="0"/>
          <w:numId w:val="6"/>
        </w:numPr>
        <w:spacing w:line="360" w:lineRule="auto"/>
        <w:rPr>
          <w:szCs w:val="22"/>
          <w:lang w:val="en-US"/>
        </w:rPr>
      </w:pPr>
      <w:r w:rsidRPr="00025E1C">
        <w:rPr>
          <w:szCs w:val="22"/>
          <w:lang w:val="en-US"/>
        </w:rPr>
        <w:t>Quality control and External Quality Assurance (EQA)</w:t>
      </w:r>
    </w:p>
    <w:p w:rsidR="004801E6" w:rsidRPr="00025E1C" w:rsidP="004801E6" w14:paraId="581468C7" w14:textId="77777777">
      <w:pPr>
        <w:pStyle w:val="ListParagraph"/>
        <w:numPr>
          <w:ilvl w:val="0"/>
          <w:numId w:val="6"/>
        </w:numPr>
        <w:spacing w:line="360" w:lineRule="auto"/>
        <w:rPr>
          <w:szCs w:val="22"/>
          <w:lang w:val="en-US"/>
        </w:rPr>
      </w:pPr>
      <w:r w:rsidRPr="00025E1C">
        <w:rPr>
          <w:szCs w:val="22"/>
          <w:lang w:val="en-US"/>
        </w:rPr>
        <w:t>Technical limitations of the test</w:t>
      </w:r>
    </w:p>
    <w:p w:rsidR="004801E6" w:rsidRPr="00025E1C" w:rsidP="004801E6" w14:paraId="220485D1" w14:textId="77777777">
      <w:pPr>
        <w:pStyle w:val="ListParagraph"/>
        <w:numPr>
          <w:ilvl w:val="0"/>
          <w:numId w:val="6"/>
        </w:numPr>
        <w:spacing w:line="360" w:lineRule="auto"/>
        <w:rPr>
          <w:szCs w:val="22"/>
          <w:lang w:val="en-US"/>
        </w:rPr>
      </w:pPr>
      <w:r w:rsidRPr="00025E1C">
        <w:rPr>
          <w:szCs w:val="22"/>
          <w:lang w:val="en-US"/>
        </w:rPr>
        <w:t>Response to results both within and outside of the reference range</w:t>
      </w:r>
    </w:p>
    <w:p w:rsidR="004801E6" w:rsidRPr="00025E1C" w:rsidP="004801E6" w14:paraId="228E6F81" w14:textId="77777777">
      <w:pPr>
        <w:pStyle w:val="ListParagraph"/>
        <w:numPr>
          <w:ilvl w:val="0"/>
          <w:numId w:val="6"/>
        </w:numPr>
        <w:spacing w:line="360" w:lineRule="auto"/>
        <w:rPr>
          <w:szCs w:val="22"/>
          <w:lang w:val="en-US"/>
        </w:rPr>
      </w:pPr>
      <w:r w:rsidRPr="00025E1C">
        <w:rPr>
          <w:szCs w:val="22"/>
          <w:lang w:val="en-US"/>
        </w:rPr>
        <w:t>Appropriate documentation of results</w:t>
      </w:r>
    </w:p>
    <w:p w:rsidR="004801E6" w:rsidRPr="00025E1C" w:rsidP="004801E6" w14:paraId="4D5873C4" w14:textId="77777777">
      <w:pPr>
        <w:pStyle w:val="ListParagraph"/>
        <w:numPr>
          <w:ilvl w:val="0"/>
          <w:numId w:val="6"/>
        </w:numPr>
        <w:spacing w:line="360" w:lineRule="auto"/>
        <w:rPr>
          <w:szCs w:val="22"/>
          <w:lang w:val="en-US"/>
        </w:rPr>
      </w:pPr>
      <w:r w:rsidRPr="00025E1C">
        <w:rPr>
          <w:szCs w:val="22"/>
          <w:lang w:val="en-US"/>
        </w:rPr>
        <w:t>Troubleshooting and who to contact</w:t>
      </w:r>
    </w:p>
    <w:p w:rsidR="001D3A5A" w:rsidP="001D3A5A" w14:paraId="5E111912" w14:textId="041014B9">
      <w:pPr>
        <w:pStyle w:val="ListParagraph"/>
        <w:numPr>
          <w:ilvl w:val="0"/>
          <w:numId w:val="6"/>
        </w:numPr>
        <w:spacing w:line="360" w:lineRule="auto"/>
        <w:rPr>
          <w:szCs w:val="22"/>
          <w:lang w:val="en-US"/>
        </w:rPr>
      </w:pPr>
      <w:r w:rsidRPr="00025E1C">
        <w:rPr>
          <w:szCs w:val="22"/>
          <w:lang w:val="en-US"/>
        </w:rPr>
        <w:t>Infection control guidance</w:t>
      </w:r>
    </w:p>
    <w:p w:rsidR="001D3A5A" w:rsidRPr="001D3A5A" w:rsidP="001D3A5A" w14:paraId="0F45FBE7" w14:textId="77777777">
      <w:pPr>
        <w:spacing w:after="0"/>
        <w:rPr>
          <w:szCs w:val="22"/>
          <w:lang w:val="en-US"/>
        </w:rPr>
      </w:pPr>
    </w:p>
    <w:p w:rsidR="009260C8" w:rsidP="004801E6" w14:paraId="1A33B513" w14:textId="77777777">
      <w:pPr>
        <w:spacing w:line="276" w:lineRule="auto"/>
        <w:rPr>
          <w:lang w:val="en-US"/>
        </w:rPr>
      </w:pPr>
      <w:r w:rsidRPr="009739DA">
        <w:rPr>
          <w:lang w:val="en-US"/>
        </w:rPr>
        <w:t>Upon receipt of a completed training log (</w:t>
      </w:r>
      <w:r w:rsidRPr="009739DA" w:rsidR="009739DA">
        <w:rPr>
          <w:lang w:val="en-US"/>
        </w:rPr>
        <w:t>PC/FOR/YS-11</w:t>
      </w:r>
      <w:r w:rsidRPr="009739DA">
        <w:rPr>
          <w:lang w:val="en-US"/>
        </w:rPr>
        <w:t xml:space="preserve"> or </w:t>
      </w:r>
      <w:r w:rsidRPr="009739DA" w:rsidR="009739DA">
        <w:rPr>
          <w:lang w:val="en-US"/>
        </w:rPr>
        <w:t>PC/FOR/YS-22</w:t>
      </w:r>
      <w:r w:rsidRPr="009739DA">
        <w:rPr>
          <w:lang w:val="en-US"/>
        </w:rPr>
        <w:t>)</w:t>
      </w:r>
      <w:r>
        <w:rPr>
          <w:lang w:val="en-US"/>
        </w:rPr>
        <w:t>:</w:t>
      </w:r>
    </w:p>
    <w:p w:rsidR="009260C8" w:rsidP="009260C8" w14:paraId="20D6FE22" w14:textId="77777777">
      <w:pPr>
        <w:pStyle w:val="ListParagraph"/>
        <w:numPr>
          <w:ilvl w:val="0"/>
          <w:numId w:val="15"/>
        </w:numPr>
        <w:spacing w:line="276" w:lineRule="auto"/>
        <w:rPr>
          <w:lang w:val="en-US"/>
        </w:rPr>
      </w:pPr>
      <w:r w:rsidRPr="009260C8">
        <w:rPr>
          <w:lang w:val="en-US"/>
        </w:rPr>
        <w:t>the operator ID will be generated and access to the specific POCT equipment will be given in middleware</w:t>
      </w:r>
    </w:p>
    <w:p w:rsidR="004801E6" w:rsidP="009260C8" w14:paraId="1237578B" w14:textId="72E019D8">
      <w:pPr>
        <w:pStyle w:val="ListParagraph"/>
        <w:numPr>
          <w:ilvl w:val="0"/>
          <w:numId w:val="15"/>
        </w:numPr>
        <w:spacing w:line="276" w:lineRule="auto"/>
        <w:rPr>
          <w:lang w:val="en-US"/>
        </w:rPr>
      </w:pPr>
      <w:r w:rsidRPr="009260C8">
        <w:rPr>
          <w:lang w:val="en-US"/>
        </w:rPr>
        <w:t>operator ID barcode will be sent in the internal post for ease of access</w:t>
      </w:r>
    </w:p>
    <w:p w:rsidR="009260C8" w:rsidRPr="009260C8" w:rsidP="009260C8" w14:paraId="7D8652B3" w14:textId="146B97E4">
      <w:pPr>
        <w:pStyle w:val="ListParagraph"/>
        <w:numPr>
          <w:ilvl w:val="0"/>
          <w:numId w:val="15"/>
        </w:numPr>
        <w:spacing w:line="276" w:lineRule="auto"/>
        <w:rPr>
          <w:lang w:val="en-US"/>
        </w:rPr>
      </w:pPr>
      <w:r>
        <w:rPr>
          <w:lang w:val="en-US"/>
        </w:rPr>
        <w:t xml:space="preserve">training paperwork will be stored in </w:t>
      </w:r>
      <w:r w:rsidRPr="009739DA">
        <w:rPr>
          <w:i/>
          <w:iCs/>
          <w:szCs w:val="22"/>
          <w:lang w:val="en-US"/>
        </w:rPr>
        <w:t>X: Drive &gt; Biochemistry &gt; POCT &gt; Training Records.</w:t>
      </w:r>
    </w:p>
    <w:p w:rsidR="009260C8" w:rsidRPr="009260C8" w:rsidP="009260C8" w14:paraId="0EB48646" w14:textId="77777777">
      <w:pPr>
        <w:pStyle w:val="ListParagraph"/>
        <w:spacing w:line="276" w:lineRule="auto"/>
        <w:rPr>
          <w:lang w:val="en-US"/>
        </w:rPr>
      </w:pPr>
    </w:p>
    <w:p w:rsidR="009260C8" w:rsidP="004801E6" w14:paraId="59ACC6F2" w14:textId="6CD0DAE8">
      <w:pPr>
        <w:spacing w:line="276" w:lineRule="auto"/>
        <w:rPr>
          <w:lang w:val="en-US"/>
        </w:rPr>
      </w:pPr>
      <w:r>
        <w:rPr>
          <w:lang w:val="en-US"/>
        </w:rPr>
        <w:t>I</w:t>
      </w:r>
      <w:r w:rsidR="004801E6">
        <w:rPr>
          <w:lang w:val="en-US"/>
        </w:rPr>
        <w:t>nitial training will give the operator access to the POCT equipment they have been trained on but does not demonstrate competency to carry out the test alone. The operator should perform any clinical test with supervision/observed until they feel competent</w:t>
      </w:r>
      <w:r>
        <w:rPr>
          <w:lang w:val="en-US"/>
        </w:rPr>
        <w:t xml:space="preserve"> and return signed competency paperwork to </w:t>
      </w:r>
      <w:commentRangeStart w:id="17"/>
      <w:r>
        <w:rPr>
          <w:lang w:val="en-US"/>
        </w:rPr>
        <w:t>POCT</w:t>
      </w:r>
      <w:commentRangeEnd w:id="17"/>
      <w:r w:rsidR="009E636B">
        <w:rPr>
          <w:rStyle w:val="CommentReference"/>
        </w:rPr>
        <w:commentReference w:id="17"/>
      </w:r>
      <w:r>
        <w:rPr>
          <w:lang w:val="en-US"/>
        </w:rPr>
        <w:t>.</w:t>
      </w:r>
    </w:p>
    <w:p w:rsidR="00505B71" w:rsidP="004801E6" w14:paraId="51F47465" w14:textId="544945F5">
      <w:pPr>
        <w:spacing w:line="276" w:lineRule="auto"/>
        <w:rPr>
          <w:lang w:val="en-US"/>
        </w:rPr>
      </w:pPr>
      <w:r>
        <w:rPr>
          <w:lang w:val="en-US"/>
        </w:rPr>
        <w:t xml:space="preserve">Where possible ‘Pre-certificate’ will be used </w:t>
      </w:r>
      <w:r w:rsidR="00886A33">
        <w:rPr>
          <w:lang w:val="en-US"/>
        </w:rPr>
        <w:t xml:space="preserve">in the middleware </w:t>
      </w:r>
      <w:r>
        <w:rPr>
          <w:lang w:val="en-US"/>
        </w:rPr>
        <w:t>wh</w:t>
      </w:r>
      <w:r w:rsidR="00886A33">
        <w:rPr>
          <w:lang w:val="en-US"/>
        </w:rPr>
        <w:t xml:space="preserve">ich gives operator 3 months access to the POCT analyser following training awaiting their signed competency statement to be returned to POCT. After which the pre-certificate will be </w:t>
      </w:r>
      <w:r w:rsidR="00BB07CD">
        <w:rPr>
          <w:lang w:val="en-US"/>
        </w:rPr>
        <w:t>removed,</w:t>
      </w:r>
      <w:r w:rsidR="00886A33">
        <w:rPr>
          <w:lang w:val="en-US"/>
        </w:rPr>
        <w:t xml:space="preserve"> and operator given a full certificate.</w:t>
      </w:r>
    </w:p>
    <w:p w:rsidR="004801E6" w:rsidP="004801E6" w14:paraId="70261E66" w14:textId="46740AD8">
      <w:pPr>
        <w:spacing w:line="276" w:lineRule="auto"/>
        <w:rPr>
          <w:lang w:val="en-US"/>
        </w:rPr>
      </w:pPr>
    </w:p>
    <w:p w:rsidR="00427AF3" w:rsidP="007E1AAF" w14:paraId="041211FF" w14:textId="530A649C">
      <w:pPr>
        <w:pStyle w:val="Heading2"/>
      </w:pPr>
      <w:bookmarkStart w:id="18" w:name="_Toc256000005"/>
      <w:r>
        <w:t>Competency Assessment</w:t>
      </w:r>
      <w:bookmarkEnd w:id="18"/>
    </w:p>
    <w:p w:rsidR="004801E6" w:rsidP="004801E6" w14:paraId="46E90756" w14:textId="77777777">
      <w:pPr>
        <w:spacing w:line="276" w:lineRule="auto"/>
        <w:rPr>
          <w:lang w:val="en-US"/>
        </w:rPr>
      </w:pPr>
      <w:r>
        <w:rPr>
          <w:lang w:val="en-US"/>
        </w:rPr>
        <w:t>Following training, the trainee will be provided with a ‘Self-Assessment Competency’. The trainee should perform analysis under observation until they feel competent. Both the trainee and a fully trained colleague should read and sign off the competency paperwork and return the paperwork to POCT. The operator is now deemed competent to perform analysis without supervision.</w:t>
      </w:r>
    </w:p>
    <w:p w:rsidR="004801E6" w:rsidP="004801E6" w14:paraId="74CB568A" w14:textId="010F2919">
      <w:pPr>
        <w:spacing w:line="276" w:lineRule="auto"/>
        <w:rPr>
          <w:i/>
          <w:iCs/>
          <w:szCs w:val="22"/>
          <w:lang w:val="en-US"/>
        </w:rPr>
      </w:pPr>
      <w:r>
        <w:rPr>
          <w:lang w:val="en-US"/>
        </w:rPr>
        <w:t>Upon receipt of competency paperwork to POCT, this will be documented in the relevant middleware for the POCT equipment</w:t>
      </w:r>
      <w:r w:rsidR="009260C8">
        <w:rPr>
          <w:lang w:val="en-US"/>
        </w:rPr>
        <w:t xml:space="preserve"> and paperwork stored in </w:t>
      </w:r>
      <w:r w:rsidRPr="009739DA" w:rsidR="009260C8">
        <w:rPr>
          <w:i/>
          <w:iCs/>
          <w:szCs w:val="22"/>
          <w:lang w:val="en-US"/>
        </w:rPr>
        <w:t>X: Drive &gt; Biochemistry &gt; POCT &gt; Training Records</w:t>
      </w:r>
      <w:r w:rsidR="009260C8">
        <w:rPr>
          <w:i/>
          <w:iCs/>
          <w:szCs w:val="22"/>
          <w:lang w:val="en-US"/>
        </w:rPr>
        <w:t>.</w:t>
      </w:r>
    </w:p>
    <w:p w:rsidR="009260C8" w:rsidP="004801E6" w14:paraId="7F5ECD2B" w14:textId="77777777">
      <w:pPr>
        <w:spacing w:line="276" w:lineRule="auto"/>
        <w:rPr>
          <w:lang w:val="en-US"/>
        </w:rPr>
      </w:pPr>
    </w:p>
    <w:p w:rsidR="004801E6" w:rsidP="007E1AAF" w14:paraId="017889EC" w14:textId="6E1482FF">
      <w:pPr>
        <w:pStyle w:val="Heading2"/>
      </w:pPr>
      <w:bookmarkStart w:id="19" w:name="_Toc256000006"/>
      <w:r>
        <w:t>Recertification of Operators</w:t>
      </w:r>
      <w:bookmarkEnd w:id="19"/>
    </w:p>
    <w:p w:rsidR="004801E6" w:rsidRPr="002B67C7" w:rsidP="004801E6" w14:paraId="35F5DB7C" w14:textId="6CB38081">
      <w:pPr>
        <w:spacing w:after="0"/>
        <w:rPr>
          <w:rFonts w:cs="Arial"/>
          <w:szCs w:val="22"/>
        </w:rPr>
      </w:pPr>
      <w:r w:rsidRPr="002B67C7">
        <w:rPr>
          <w:rFonts w:cs="Arial"/>
          <w:szCs w:val="22"/>
        </w:rPr>
        <w:t xml:space="preserve">Recertification on all POCT equipment is </w:t>
      </w:r>
      <w:r>
        <w:rPr>
          <w:rFonts w:cs="Arial"/>
          <w:szCs w:val="22"/>
        </w:rPr>
        <w:t>required</w:t>
      </w:r>
      <w:r w:rsidRPr="002B67C7">
        <w:rPr>
          <w:rFonts w:cs="Arial"/>
          <w:szCs w:val="22"/>
        </w:rPr>
        <w:t xml:space="preserve"> every 2 years</w:t>
      </w:r>
      <w:r w:rsidR="00F10568">
        <w:rPr>
          <w:rFonts w:cs="Arial"/>
          <w:szCs w:val="22"/>
        </w:rPr>
        <w:t>, usually by an assessed knowledge quiz with an 80% pass mark</w:t>
      </w:r>
      <w:r w:rsidRPr="002B67C7">
        <w:rPr>
          <w:rFonts w:cs="Arial"/>
          <w:szCs w:val="22"/>
        </w:rPr>
        <w:t xml:space="preserve">. On all ‘connected’ equipment such as blood gas analysers and glucose meters, </w:t>
      </w:r>
      <w:r w:rsidRPr="002B67C7" w:rsidR="001D3A5A">
        <w:rPr>
          <w:rFonts w:cs="Arial"/>
          <w:szCs w:val="22"/>
        </w:rPr>
        <w:t>operators’</w:t>
      </w:r>
      <w:r w:rsidRPr="002B67C7">
        <w:rPr>
          <w:rFonts w:cs="Arial"/>
          <w:szCs w:val="22"/>
        </w:rPr>
        <w:t xml:space="preserve"> </w:t>
      </w:r>
      <w:r w:rsidR="001D3A5A">
        <w:rPr>
          <w:rFonts w:cs="Arial"/>
          <w:szCs w:val="22"/>
        </w:rPr>
        <w:t xml:space="preserve">access </w:t>
      </w:r>
      <w:r w:rsidRPr="002B67C7">
        <w:rPr>
          <w:rFonts w:cs="Arial"/>
          <w:szCs w:val="22"/>
        </w:rPr>
        <w:t xml:space="preserve">will </w:t>
      </w:r>
      <w:r w:rsidRPr="002B67C7" w:rsidR="00DC07AC">
        <w:rPr>
          <w:rFonts w:cs="Arial"/>
          <w:szCs w:val="22"/>
        </w:rPr>
        <w:t>expire,</w:t>
      </w:r>
      <w:r w:rsidRPr="002B67C7">
        <w:rPr>
          <w:rFonts w:cs="Arial"/>
          <w:szCs w:val="22"/>
        </w:rPr>
        <w:t xml:space="preserve"> and </w:t>
      </w:r>
      <w:r w:rsidR="001D3A5A">
        <w:rPr>
          <w:rFonts w:cs="Arial"/>
          <w:szCs w:val="22"/>
        </w:rPr>
        <w:t xml:space="preserve">they will </w:t>
      </w:r>
      <w:r w:rsidRPr="002B67C7">
        <w:rPr>
          <w:rFonts w:cs="Arial"/>
          <w:szCs w:val="22"/>
        </w:rPr>
        <w:t xml:space="preserve">be unable to </w:t>
      </w:r>
      <w:r w:rsidR="001D3A5A">
        <w:rPr>
          <w:rFonts w:cs="Arial"/>
          <w:szCs w:val="22"/>
        </w:rPr>
        <w:t>log in to use the analyser.</w:t>
      </w:r>
    </w:p>
    <w:p w:rsidR="004801E6" w:rsidP="004801E6" w14:paraId="33F1F7AB" w14:textId="7D34CD3E">
      <w:pPr>
        <w:rPr>
          <w:rFonts w:cs="Arial"/>
          <w:szCs w:val="22"/>
        </w:rPr>
      </w:pPr>
      <w:r w:rsidRPr="002B67C7">
        <w:rPr>
          <w:rFonts w:cs="Arial"/>
          <w:szCs w:val="22"/>
        </w:rPr>
        <w:t xml:space="preserve">Operators are warned of the need to recertify </w:t>
      </w:r>
      <w:r w:rsidR="001D3A5A">
        <w:rPr>
          <w:rFonts w:cs="Arial"/>
          <w:szCs w:val="22"/>
        </w:rPr>
        <w:t>in the months prior to expiry by:</w:t>
      </w:r>
    </w:p>
    <w:p w:rsidR="001D3A5A" w:rsidP="001D3A5A" w14:paraId="7C7EDA29" w14:textId="72108A4B">
      <w:pPr>
        <w:pStyle w:val="ListParagraph"/>
        <w:numPr>
          <w:ilvl w:val="0"/>
          <w:numId w:val="16"/>
        </w:numPr>
        <w:rPr>
          <w:rFonts w:cs="Arial"/>
          <w:szCs w:val="22"/>
        </w:rPr>
      </w:pPr>
      <w:r>
        <w:rPr>
          <w:rFonts w:cs="Arial"/>
          <w:szCs w:val="22"/>
        </w:rPr>
        <w:t>Pop-up message on analyser screen (glucose meters)</w:t>
      </w:r>
    </w:p>
    <w:p w:rsidR="001D3A5A" w:rsidP="004801E6" w14:paraId="62ACBC5E" w14:textId="77777777">
      <w:pPr>
        <w:pStyle w:val="ListParagraph"/>
        <w:numPr>
          <w:ilvl w:val="0"/>
          <w:numId w:val="16"/>
        </w:numPr>
        <w:rPr>
          <w:rFonts w:cs="Arial"/>
          <w:szCs w:val="22"/>
        </w:rPr>
      </w:pPr>
      <w:r w:rsidRPr="001D3A5A">
        <w:rPr>
          <w:rFonts w:cs="Arial"/>
          <w:szCs w:val="22"/>
        </w:rPr>
        <w:t xml:space="preserve">Auto-email sent from middleware </w:t>
      </w:r>
    </w:p>
    <w:p w:rsidR="00DC07AC" w:rsidRPr="009E636B" w:rsidP="00DC07AC" w14:paraId="458FC9E0" w14:textId="786CD589">
      <w:pPr>
        <w:pStyle w:val="ListParagraph"/>
        <w:numPr>
          <w:ilvl w:val="0"/>
          <w:numId w:val="16"/>
        </w:numPr>
        <w:rPr>
          <w:rFonts w:cs="Arial"/>
          <w:szCs w:val="22"/>
        </w:rPr>
      </w:pPr>
      <w:r>
        <w:rPr>
          <w:rFonts w:cs="Arial"/>
          <w:szCs w:val="22"/>
        </w:rPr>
        <w:t>Manual email sent from POCT team (see Intermediate tasks for POCT Staff SOP PC/SOP/YS-28)</w:t>
      </w:r>
    </w:p>
    <w:p w:rsidR="00F10568" w:rsidP="00F10568" w14:paraId="5737B0D7" w14:textId="77777777">
      <w:pPr>
        <w:spacing w:after="0"/>
        <w:rPr>
          <w:rFonts w:cs="Arial"/>
          <w:szCs w:val="22"/>
        </w:rPr>
      </w:pPr>
    </w:p>
    <w:p w:rsidR="00F10568" w:rsidRPr="00F10568" w:rsidP="00F10568" w14:paraId="6D5C7B2F" w14:textId="46B2DF92">
      <w:pPr>
        <w:spacing w:after="0"/>
        <w:rPr>
          <w:rFonts w:cs="Arial"/>
          <w:szCs w:val="22"/>
        </w:rPr>
      </w:pPr>
      <w:r w:rsidRPr="00F10568">
        <w:rPr>
          <w:rFonts w:cs="Arial"/>
          <w:szCs w:val="22"/>
        </w:rPr>
        <w:t xml:space="preserve">POCT aim to make recertification simple, with many recertification quizzes now available on Trust Learning Hub, along with a ‘self-declaration’ </w:t>
      </w:r>
      <w:r w:rsidRPr="00F10568">
        <w:rPr>
          <w:rFonts w:cs="Arial"/>
          <w:szCs w:val="22"/>
        </w:rPr>
        <w:t>tick box acting</w:t>
      </w:r>
      <w:r w:rsidRPr="00F10568">
        <w:rPr>
          <w:rFonts w:cs="Arial"/>
          <w:szCs w:val="22"/>
        </w:rPr>
        <w:t xml:space="preserve"> as a ‘Self-Assessment Competency’.</w:t>
      </w:r>
      <w:r w:rsidRPr="00F10568" w:rsidR="009E636B">
        <w:rPr>
          <w:rFonts w:cs="Arial"/>
          <w:szCs w:val="22"/>
        </w:rPr>
        <w:t xml:space="preserve"> </w:t>
      </w:r>
    </w:p>
    <w:p w:rsidR="00F10568" w:rsidP="00F10568" w14:paraId="653035B6" w14:textId="77777777">
      <w:pPr>
        <w:pStyle w:val="ListParagraph"/>
        <w:numPr>
          <w:ilvl w:val="0"/>
          <w:numId w:val="16"/>
        </w:numPr>
        <w:spacing w:after="0"/>
        <w:rPr>
          <w:rFonts w:cs="Arial"/>
          <w:szCs w:val="22"/>
        </w:rPr>
      </w:pPr>
      <w:r w:rsidRPr="00F10568">
        <w:rPr>
          <w:rFonts w:cs="Arial"/>
          <w:szCs w:val="22"/>
        </w:rPr>
        <w:t>Learning Hub completions are monitored and POCT staff update operator certificates daily.</w:t>
      </w:r>
    </w:p>
    <w:p w:rsidR="00DC07AC" w:rsidRPr="00B278D4" w:rsidP="00F10568" w14:paraId="3ACD924E" w14:textId="33EABBFC">
      <w:pPr>
        <w:pStyle w:val="ListParagraph"/>
        <w:numPr>
          <w:ilvl w:val="0"/>
          <w:numId w:val="16"/>
        </w:numPr>
        <w:spacing w:after="0"/>
        <w:rPr>
          <w:rFonts w:cs="Arial"/>
          <w:szCs w:val="22"/>
        </w:rPr>
      </w:pPr>
      <w:r w:rsidRPr="00F10568">
        <w:rPr>
          <w:rFonts w:cs="Arial"/>
          <w:szCs w:val="22"/>
        </w:rPr>
        <w:t xml:space="preserve">Learning Hub completion lists are cleared, sent to POCT </w:t>
      </w:r>
      <w:r w:rsidR="00F10568">
        <w:rPr>
          <w:rFonts w:cs="Arial"/>
          <w:szCs w:val="22"/>
        </w:rPr>
        <w:t>by email</w:t>
      </w:r>
      <w:r w:rsidRPr="00F10568">
        <w:rPr>
          <w:rFonts w:cs="Arial"/>
          <w:szCs w:val="22"/>
        </w:rPr>
        <w:t xml:space="preserve"> and stored in </w:t>
      </w:r>
      <w:r w:rsidRPr="00F10568">
        <w:rPr>
          <w:i/>
          <w:iCs/>
          <w:szCs w:val="22"/>
          <w:lang w:val="en-US"/>
        </w:rPr>
        <w:t xml:space="preserve">X: Drive &gt; Biochemistry &gt; POCT &gt; Training Records </w:t>
      </w:r>
      <w:r w:rsidRPr="00F10568">
        <w:rPr>
          <w:szCs w:val="22"/>
          <w:lang w:val="en-US"/>
        </w:rPr>
        <w:t>quarterly.</w:t>
      </w:r>
    </w:p>
    <w:p w:rsidR="00B278D4" w:rsidRPr="00F10568" w:rsidP="00F10568" w14:paraId="383C65F7" w14:textId="40014930">
      <w:pPr>
        <w:pStyle w:val="ListParagraph"/>
        <w:numPr>
          <w:ilvl w:val="0"/>
          <w:numId w:val="16"/>
        </w:numPr>
        <w:spacing w:after="0"/>
        <w:rPr>
          <w:rFonts w:cs="Arial"/>
          <w:szCs w:val="22"/>
        </w:rPr>
      </w:pPr>
      <w:r>
        <w:rPr>
          <w:szCs w:val="22"/>
          <w:lang w:val="en-US"/>
        </w:rPr>
        <w:t>Learning Hub quizzes are reviewed by POCT every 2 years minimum to ensure appropriate and up to date content.</w:t>
      </w:r>
    </w:p>
    <w:p w:rsidR="004801E6" w:rsidP="00F10568" w14:paraId="61CE262D" w14:textId="77777777">
      <w:pPr>
        <w:spacing w:after="0"/>
        <w:rPr>
          <w:rFonts w:cs="Arial"/>
          <w:szCs w:val="22"/>
        </w:rPr>
      </w:pPr>
    </w:p>
    <w:p w:rsidR="00F10568" w:rsidP="004801E6" w14:paraId="09769BDD" w14:textId="28B47CE3">
      <w:pPr>
        <w:rPr>
          <w:rFonts w:cs="Arial"/>
          <w:szCs w:val="22"/>
        </w:rPr>
      </w:pPr>
      <w:r>
        <w:rPr>
          <w:rFonts w:cs="Arial"/>
          <w:szCs w:val="22"/>
        </w:rPr>
        <w:t xml:space="preserve">Some lesser used or manual POCT analyses are recertified by paper quiz and competency, operators will be guided to find this paperwork on the Trust POCT intranet page </w:t>
      </w:r>
      <w:r>
        <w:rPr>
          <w:rFonts w:cs="Arial"/>
          <w:i/>
          <w:iCs/>
          <w:szCs w:val="22"/>
        </w:rPr>
        <w:t xml:space="preserve">Recertification and training documents </w:t>
      </w:r>
      <w:r>
        <w:rPr>
          <w:rFonts w:cs="Arial"/>
          <w:szCs w:val="22"/>
        </w:rPr>
        <w:t>page.</w:t>
      </w:r>
    </w:p>
    <w:p w:rsidR="00B278D4" w:rsidRPr="00F10568" w:rsidP="00B278D4" w14:paraId="7AD3925F" w14:textId="77777777">
      <w:pPr>
        <w:spacing w:after="0"/>
        <w:rPr>
          <w:rFonts w:cs="Arial"/>
          <w:szCs w:val="22"/>
        </w:rPr>
      </w:pPr>
    </w:p>
    <w:p w:rsidR="00F10568" w:rsidP="004801E6" w14:paraId="20F2D4D1" w14:textId="35ABA362">
      <w:pPr>
        <w:rPr>
          <w:rFonts w:cs="Arial"/>
          <w:szCs w:val="22"/>
        </w:rPr>
      </w:pPr>
      <w:r>
        <w:rPr>
          <w:rFonts w:cs="Arial"/>
          <w:szCs w:val="22"/>
        </w:rPr>
        <w:t xml:space="preserve">Any operator who does not feel confident, has not used the piece of equipment regularly, or who fails the recertification quiz is welcome to return for </w:t>
      </w:r>
      <w:r w:rsidR="00505B71">
        <w:rPr>
          <w:rFonts w:cs="Arial"/>
          <w:szCs w:val="22"/>
        </w:rPr>
        <w:t>face-to-face</w:t>
      </w:r>
      <w:r>
        <w:rPr>
          <w:rFonts w:cs="Arial"/>
          <w:szCs w:val="22"/>
        </w:rPr>
        <w:t xml:space="preserve"> training as in section 4.1 before access to equipment is re-instated.</w:t>
      </w:r>
    </w:p>
    <w:p w:rsidR="004801E6" w:rsidP="00427AF3" w14:paraId="2C77564D" w14:textId="77777777">
      <w:pPr>
        <w:rPr>
          <w:lang w:val="en-US"/>
        </w:rPr>
      </w:pPr>
    </w:p>
    <w:p w:rsidR="00774595" w:rsidP="00427AF3" w14:paraId="2B19B281" w14:textId="77777777">
      <w:pPr>
        <w:rPr>
          <w:lang w:val="en-US"/>
        </w:rPr>
      </w:pPr>
    </w:p>
    <w:p w:rsidR="00886A33" w:rsidRPr="00427AF3" w:rsidP="00427AF3" w14:paraId="5C0FD61B" w14:textId="77777777">
      <w:pPr>
        <w:rPr>
          <w:lang w:val="en-US"/>
        </w:rPr>
      </w:pPr>
    </w:p>
    <w:p w:rsidR="006F71C0" w:rsidRPr="00897607" w:rsidP="006F71C0" w14:paraId="4A8A6E5A" w14:textId="77777777">
      <w:pPr>
        <w:pStyle w:val="Heading1"/>
      </w:pPr>
      <w:bookmarkStart w:id="20" w:name="_Toc434312276"/>
      <w:bookmarkStart w:id="21" w:name="_Toc86407920"/>
      <w:bookmarkEnd w:id="13"/>
      <w:bookmarkEnd w:id="14"/>
      <w:bookmarkStart w:id="22" w:name="_Toc256000007"/>
      <w:r w:rsidRPr="00897607">
        <w:t>Training</w:t>
      </w:r>
      <w:bookmarkEnd w:id="20"/>
      <w:bookmarkEnd w:id="21"/>
      <w:r w:rsidRPr="00897607" w:rsidR="00404FFF">
        <w:t xml:space="preserve"> Requirements</w:t>
      </w:r>
      <w:bookmarkEnd w:id="22"/>
    </w:p>
    <w:p w:rsidR="005B7D3F" w:rsidP="004801E6" w14:paraId="6FB5A4DD" w14:textId="5C43E691">
      <w:pPr>
        <w:jc w:val="both"/>
        <w:rPr>
          <w:rFonts w:cs="Arial"/>
          <w:szCs w:val="22"/>
          <w:lang w:val="en-US"/>
        </w:rPr>
      </w:pPr>
      <w:r>
        <w:rPr>
          <w:rFonts w:cs="Arial"/>
          <w:szCs w:val="22"/>
          <w:lang w:val="en-US"/>
        </w:rPr>
        <w:t>This is an informative document. There is no specific training to support this document.</w:t>
      </w:r>
    </w:p>
    <w:p w:rsidR="004801E6" w:rsidRPr="00764091" w:rsidP="004801E6" w14:paraId="37307417" w14:textId="10B44B33">
      <w:pPr>
        <w:jc w:val="both"/>
        <w:rPr>
          <w:rFonts w:cs="Arial"/>
          <w:szCs w:val="22"/>
          <w:lang w:val="en-US"/>
        </w:rPr>
      </w:pPr>
      <w:r w:rsidRPr="00764091">
        <w:rPr>
          <w:rFonts w:cs="Arial"/>
          <w:szCs w:val="22"/>
          <w:lang w:val="en-US"/>
        </w:rPr>
        <w:t xml:space="preserve">It is expected that all </w:t>
      </w:r>
      <w:r>
        <w:rPr>
          <w:rFonts w:cs="Arial"/>
          <w:szCs w:val="22"/>
          <w:lang w:val="en-US"/>
        </w:rPr>
        <w:t>POCT</w:t>
      </w:r>
      <w:r w:rsidRPr="00764091">
        <w:rPr>
          <w:rFonts w:cs="Arial"/>
          <w:szCs w:val="22"/>
          <w:lang w:val="en-US"/>
        </w:rPr>
        <w:t xml:space="preserve"> staff have an awareness of th</w:t>
      </w:r>
      <w:r>
        <w:rPr>
          <w:rFonts w:cs="Arial"/>
          <w:szCs w:val="22"/>
          <w:lang w:val="en-US"/>
        </w:rPr>
        <w:t xml:space="preserve">is policy, for guidance in decisions pertaining to education, training &amp; development. </w:t>
      </w:r>
    </w:p>
    <w:p w:rsidR="00897607" w:rsidRPr="005B7D3F" w:rsidP="005B7D3F" w14:paraId="63175139" w14:textId="00A9CD6F">
      <w:pPr>
        <w:pStyle w:val="Heading1"/>
      </w:pPr>
      <w:bookmarkStart w:id="23" w:name="_Toc256000008"/>
      <w:r w:rsidRPr="00897607">
        <w:t>Monitoring Compliance</w:t>
      </w:r>
      <w:bookmarkEnd w:id="23"/>
    </w:p>
    <w:tbl>
      <w:tblPr>
        <w:tblpPr w:leftFromText="180" w:rightFromText="180" w:vertAnchor="text" w:horzAnchor="margin" w:tblpY="12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5"/>
        <w:gridCol w:w="1701"/>
        <w:gridCol w:w="1484"/>
        <w:gridCol w:w="1351"/>
        <w:gridCol w:w="2693"/>
      </w:tblGrid>
      <w:tr w14:paraId="0EE620A2" w14:textId="77777777" w:rsidTr="00023087">
        <w:tblPrEx>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44"/>
        </w:trPr>
        <w:tc>
          <w:tcPr>
            <w:tcW w:w="2405" w:type="dxa"/>
            <w:shd w:val="clear" w:color="auto" w:fill="4F81BD" w:themeFill="accent1"/>
          </w:tcPr>
          <w:p w:rsidR="004D7566" w:rsidRPr="00897607" w:rsidP="00413E8B" w14:paraId="48797521" w14:textId="628F34BA">
            <w:pPr>
              <w:pStyle w:val="TableParagraph"/>
              <w:spacing w:line="248" w:lineRule="exact"/>
              <w:rPr>
                <w:b/>
              </w:rPr>
            </w:pPr>
            <w:r w:rsidRPr="00897607">
              <w:rPr>
                <w:b/>
              </w:rPr>
              <w:t>Element</w:t>
            </w:r>
            <w:r w:rsidRPr="00897607" w:rsidR="00413E8B">
              <w:rPr>
                <w:b/>
              </w:rPr>
              <w:t xml:space="preserve"> </w:t>
            </w:r>
            <w:r w:rsidRPr="00897607">
              <w:rPr>
                <w:b/>
              </w:rPr>
              <w:t>monitored</w:t>
            </w:r>
          </w:p>
        </w:tc>
        <w:tc>
          <w:tcPr>
            <w:tcW w:w="1701" w:type="dxa"/>
            <w:shd w:val="clear" w:color="auto" w:fill="4F81BD" w:themeFill="accent1"/>
          </w:tcPr>
          <w:p w:rsidR="004D7566" w:rsidRPr="00897607" w:rsidP="008652DD" w14:paraId="768F5C1C" w14:textId="77777777">
            <w:pPr>
              <w:pStyle w:val="TableParagraph"/>
              <w:spacing w:line="248" w:lineRule="exact"/>
              <w:rPr>
                <w:b/>
              </w:rPr>
            </w:pPr>
            <w:r w:rsidRPr="00897607">
              <w:rPr>
                <w:b/>
              </w:rPr>
              <w:t>Lead</w:t>
            </w:r>
          </w:p>
        </w:tc>
        <w:tc>
          <w:tcPr>
            <w:tcW w:w="1484" w:type="dxa"/>
            <w:shd w:val="clear" w:color="auto" w:fill="4F81BD" w:themeFill="accent1"/>
          </w:tcPr>
          <w:p w:rsidR="004D7566" w:rsidRPr="00897607" w:rsidP="008652DD" w14:paraId="74CD984D" w14:textId="77777777">
            <w:pPr>
              <w:pStyle w:val="TableParagraph"/>
              <w:spacing w:line="248" w:lineRule="exact"/>
              <w:rPr>
                <w:b/>
              </w:rPr>
            </w:pPr>
            <w:r w:rsidRPr="00897607">
              <w:rPr>
                <w:b/>
              </w:rPr>
              <w:t>Tool</w:t>
            </w:r>
          </w:p>
        </w:tc>
        <w:tc>
          <w:tcPr>
            <w:tcW w:w="1351" w:type="dxa"/>
            <w:shd w:val="clear" w:color="auto" w:fill="4F81BD" w:themeFill="accent1"/>
          </w:tcPr>
          <w:p w:rsidR="004D7566" w:rsidRPr="00897607" w:rsidP="008652DD" w14:paraId="0E58C52D" w14:textId="77777777">
            <w:pPr>
              <w:pStyle w:val="TableParagraph"/>
              <w:spacing w:line="248" w:lineRule="exact"/>
              <w:ind w:left="105"/>
              <w:rPr>
                <w:b/>
              </w:rPr>
            </w:pPr>
            <w:r w:rsidRPr="00897607">
              <w:rPr>
                <w:b/>
              </w:rPr>
              <w:t>Frequency</w:t>
            </w:r>
          </w:p>
        </w:tc>
        <w:tc>
          <w:tcPr>
            <w:tcW w:w="2693" w:type="dxa"/>
            <w:shd w:val="clear" w:color="auto" w:fill="4F81BD" w:themeFill="accent1"/>
          </w:tcPr>
          <w:p w:rsidR="004D7566" w:rsidRPr="00897607" w:rsidP="008652DD" w14:paraId="7E9104EB" w14:textId="77777777">
            <w:pPr>
              <w:pStyle w:val="TableParagraph"/>
              <w:spacing w:line="248" w:lineRule="exact"/>
              <w:rPr>
                <w:b/>
              </w:rPr>
            </w:pPr>
            <w:r w:rsidRPr="00897607">
              <w:rPr>
                <w:b/>
              </w:rPr>
              <w:t>Reporting</w:t>
            </w:r>
          </w:p>
          <w:p w:rsidR="004D7566" w:rsidRPr="00897607" w:rsidP="008652DD" w14:paraId="1C76A6B5" w14:textId="77777777">
            <w:pPr>
              <w:pStyle w:val="TableParagraph"/>
              <w:spacing w:before="1" w:line="237" w:lineRule="exact"/>
              <w:rPr>
                <w:b/>
              </w:rPr>
            </w:pPr>
            <w:r w:rsidRPr="00897607">
              <w:rPr>
                <w:b/>
              </w:rPr>
              <w:t>arrangements</w:t>
            </w:r>
          </w:p>
        </w:tc>
      </w:tr>
      <w:tr w14:paraId="0A5015B9" w14:textId="77777777" w:rsidTr="00023087">
        <w:tblPrEx>
          <w:tblW w:w="9634" w:type="dxa"/>
          <w:tblLayout w:type="fixed"/>
          <w:tblCellMar>
            <w:left w:w="0" w:type="dxa"/>
            <w:right w:w="0" w:type="dxa"/>
          </w:tblCellMar>
          <w:tblLook w:val="01E0"/>
        </w:tblPrEx>
        <w:trPr>
          <w:trHeight w:val="1091"/>
        </w:trPr>
        <w:tc>
          <w:tcPr>
            <w:tcW w:w="2405" w:type="dxa"/>
          </w:tcPr>
          <w:p w:rsidR="004D7566" w:rsidRPr="00897607" w:rsidP="008652DD" w14:paraId="2D7EA724" w14:textId="05227CDF">
            <w:pPr>
              <w:pStyle w:val="TableParagraph"/>
              <w:spacing w:before="1"/>
              <w:ind w:right="251"/>
              <w:rPr>
                <w:sz w:val="24"/>
                <w:szCs w:val="24"/>
              </w:rPr>
            </w:pPr>
            <w:r w:rsidRPr="00226676">
              <w:rPr>
                <w:sz w:val="24"/>
                <w:szCs w:val="24"/>
              </w:rPr>
              <w:t>Training quality</w:t>
            </w:r>
          </w:p>
        </w:tc>
        <w:tc>
          <w:tcPr>
            <w:tcW w:w="1701" w:type="dxa"/>
          </w:tcPr>
          <w:p w:rsidR="004D7566" w:rsidRPr="00897607" w:rsidP="008652DD" w14:paraId="6EDEE412" w14:textId="343BFBB5">
            <w:pPr>
              <w:pStyle w:val="TableParagraph"/>
              <w:spacing w:line="234" w:lineRule="exact"/>
              <w:rPr>
                <w:sz w:val="24"/>
                <w:szCs w:val="24"/>
              </w:rPr>
            </w:pPr>
            <w:r>
              <w:rPr>
                <w:sz w:val="24"/>
                <w:szCs w:val="24"/>
              </w:rPr>
              <w:t>POCT Team</w:t>
            </w:r>
          </w:p>
        </w:tc>
        <w:tc>
          <w:tcPr>
            <w:tcW w:w="1484" w:type="dxa"/>
          </w:tcPr>
          <w:p w:rsidR="004D7566" w:rsidRPr="00897607" w:rsidP="008652DD" w14:paraId="77E07821" w14:textId="150B5749">
            <w:pPr>
              <w:pStyle w:val="TableParagraph"/>
              <w:ind w:right="195"/>
              <w:rPr>
                <w:sz w:val="24"/>
                <w:szCs w:val="24"/>
              </w:rPr>
            </w:pPr>
            <w:r>
              <w:rPr>
                <w:sz w:val="24"/>
                <w:szCs w:val="24"/>
              </w:rPr>
              <w:t>Link trainer audit</w:t>
            </w:r>
          </w:p>
        </w:tc>
        <w:tc>
          <w:tcPr>
            <w:tcW w:w="1351" w:type="dxa"/>
          </w:tcPr>
          <w:p w:rsidR="004D7566" w:rsidRPr="00897607" w:rsidP="008652DD" w14:paraId="796D71E9" w14:textId="6005372B">
            <w:pPr>
              <w:pStyle w:val="TableParagraph"/>
              <w:spacing w:line="250" w:lineRule="exact"/>
              <w:ind w:left="105"/>
              <w:rPr>
                <w:sz w:val="24"/>
                <w:szCs w:val="24"/>
              </w:rPr>
            </w:pPr>
            <w:r>
              <w:rPr>
                <w:sz w:val="24"/>
                <w:szCs w:val="24"/>
              </w:rPr>
              <w:t>Quarterly</w:t>
            </w:r>
          </w:p>
        </w:tc>
        <w:tc>
          <w:tcPr>
            <w:tcW w:w="2693" w:type="dxa"/>
          </w:tcPr>
          <w:p w:rsidR="004D7566" w:rsidRPr="00897607" w:rsidP="008652DD" w14:paraId="76B7F572" w14:textId="77777777">
            <w:pPr>
              <w:pStyle w:val="TableParagraph"/>
              <w:ind w:right="117"/>
              <w:rPr>
                <w:sz w:val="24"/>
                <w:szCs w:val="24"/>
              </w:rPr>
            </w:pPr>
          </w:p>
        </w:tc>
      </w:tr>
      <w:tr w14:paraId="6B88DECD" w14:textId="77777777" w:rsidTr="00023087">
        <w:tblPrEx>
          <w:tblW w:w="9634" w:type="dxa"/>
          <w:tblLayout w:type="fixed"/>
          <w:tblCellMar>
            <w:left w:w="0" w:type="dxa"/>
            <w:right w:w="0" w:type="dxa"/>
          </w:tblCellMar>
          <w:tblLook w:val="01E0"/>
        </w:tblPrEx>
        <w:trPr>
          <w:trHeight w:val="1091"/>
        </w:trPr>
        <w:tc>
          <w:tcPr>
            <w:tcW w:w="2405" w:type="dxa"/>
          </w:tcPr>
          <w:p w:rsidR="004D7566" w:rsidRPr="00897607" w:rsidP="008652DD" w14:paraId="3D5DFEB3" w14:textId="6C40AD19">
            <w:pPr>
              <w:pStyle w:val="TableParagraph"/>
              <w:spacing w:before="1"/>
              <w:ind w:right="251"/>
              <w:rPr>
                <w:sz w:val="24"/>
                <w:szCs w:val="24"/>
              </w:rPr>
            </w:pPr>
            <w:r>
              <w:rPr>
                <w:sz w:val="24"/>
                <w:szCs w:val="24"/>
              </w:rPr>
              <w:t>Number of trained operators and link trainers</w:t>
            </w:r>
          </w:p>
        </w:tc>
        <w:tc>
          <w:tcPr>
            <w:tcW w:w="1701" w:type="dxa"/>
          </w:tcPr>
          <w:p w:rsidR="004D7566" w:rsidRPr="00897607" w:rsidP="008652DD" w14:paraId="5A00DE1C" w14:textId="79F4FF43">
            <w:pPr>
              <w:pStyle w:val="TableParagraph"/>
              <w:spacing w:line="234" w:lineRule="exact"/>
              <w:rPr>
                <w:sz w:val="24"/>
                <w:szCs w:val="24"/>
              </w:rPr>
            </w:pPr>
            <w:r>
              <w:rPr>
                <w:sz w:val="24"/>
                <w:szCs w:val="24"/>
              </w:rPr>
              <w:t>POCT Team</w:t>
            </w:r>
          </w:p>
        </w:tc>
        <w:tc>
          <w:tcPr>
            <w:tcW w:w="1484" w:type="dxa"/>
          </w:tcPr>
          <w:p w:rsidR="004D7566" w:rsidP="008652DD" w14:paraId="082DFA45" w14:textId="77777777">
            <w:pPr>
              <w:pStyle w:val="TableParagraph"/>
              <w:ind w:right="195"/>
              <w:rPr>
                <w:sz w:val="24"/>
                <w:szCs w:val="24"/>
              </w:rPr>
            </w:pPr>
            <w:r>
              <w:rPr>
                <w:sz w:val="24"/>
                <w:szCs w:val="24"/>
              </w:rPr>
              <w:t>KPIs</w:t>
            </w:r>
          </w:p>
          <w:p w:rsidR="00F62E27" w:rsidRPr="00897607" w:rsidP="008652DD" w14:paraId="6E55C424" w14:textId="75985628">
            <w:pPr>
              <w:pStyle w:val="TableParagraph"/>
              <w:ind w:right="195"/>
              <w:rPr>
                <w:sz w:val="24"/>
                <w:szCs w:val="24"/>
              </w:rPr>
            </w:pPr>
            <w:r>
              <w:rPr>
                <w:sz w:val="24"/>
                <w:szCs w:val="24"/>
              </w:rPr>
              <w:t xml:space="preserve">(using glucose operators as </w:t>
            </w:r>
            <w:r>
              <w:rPr>
                <w:sz w:val="24"/>
                <w:szCs w:val="24"/>
              </w:rPr>
              <w:t>eg</w:t>
            </w:r>
            <w:r>
              <w:rPr>
                <w:sz w:val="24"/>
                <w:szCs w:val="24"/>
              </w:rPr>
              <w:t>)</w:t>
            </w:r>
          </w:p>
        </w:tc>
        <w:tc>
          <w:tcPr>
            <w:tcW w:w="1351" w:type="dxa"/>
          </w:tcPr>
          <w:p w:rsidR="004D7566" w:rsidRPr="00897607" w:rsidP="008652DD" w14:paraId="6B528F76" w14:textId="081D3190">
            <w:pPr>
              <w:pStyle w:val="TableParagraph"/>
              <w:spacing w:line="250" w:lineRule="exact"/>
              <w:ind w:left="105"/>
              <w:rPr>
                <w:sz w:val="24"/>
                <w:szCs w:val="24"/>
              </w:rPr>
            </w:pPr>
            <w:r>
              <w:rPr>
                <w:sz w:val="24"/>
                <w:szCs w:val="24"/>
              </w:rPr>
              <w:t>Monthly</w:t>
            </w:r>
          </w:p>
        </w:tc>
        <w:tc>
          <w:tcPr>
            <w:tcW w:w="2693" w:type="dxa"/>
          </w:tcPr>
          <w:p w:rsidR="004D7566" w:rsidRPr="00897607" w:rsidP="008652DD" w14:paraId="5956A1C5" w14:textId="77777777">
            <w:pPr>
              <w:pStyle w:val="TableParagraph"/>
              <w:ind w:right="117"/>
              <w:rPr>
                <w:sz w:val="24"/>
                <w:szCs w:val="24"/>
              </w:rPr>
            </w:pPr>
          </w:p>
        </w:tc>
      </w:tr>
    </w:tbl>
    <w:p w:rsidR="004D7566" w:rsidRPr="00897607" w:rsidP="004D7566" w14:paraId="7CD84F50" w14:textId="77777777">
      <w:pPr>
        <w:pStyle w:val="BodyText"/>
      </w:pPr>
    </w:p>
    <w:p w:rsidR="004D7566" w:rsidRPr="00897607" w:rsidP="004D7566" w14:paraId="5F05F80F" w14:textId="02311D1B">
      <w:pPr>
        <w:rPr>
          <w:rFonts w:cs="Arial"/>
          <w:color w:val="548DD4"/>
          <w:szCs w:val="24"/>
        </w:rPr>
      </w:pPr>
    </w:p>
    <w:p w:rsidR="006F71C0" w:rsidRPr="00897607" w:rsidP="006F71C0" w14:paraId="267A0B2C" w14:textId="77777777">
      <w:pPr>
        <w:pStyle w:val="Heading1"/>
      </w:pPr>
      <w:bookmarkStart w:id="24" w:name="_Toc434312277"/>
      <w:bookmarkStart w:id="25" w:name="_Toc86407921"/>
      <w:bookmarkStart w:id="26" w:name="_Toc256000009"/>
      <w:r w:rsidRPr="00897607">
        <w:t>Publication and Distribution</w:t>
      </w:r>
      <w:bookmarkEnd w:id="26"/>
      <w:bookmarkEnd w:id="24"/>
      <w:bookmarkEnd w:id="25"/>
    </w:p>
    <w:p w:rsidR="00021248" w:rsidRPr="00021248" w:rsidP="00021248" w14:paraId="595828F3" w14:textId="1F57269A">
      <w:pPr>
        <w:rPr>
          <w:rFonts w:cs="Arial"/>
          <w:szCs w:val="24"/>
        </w:rPr>
      </w:pPr>
      <w:bookmarkStart w:id="27" w:name="_Toc434312273"/>
      <w:bookmarkStart w:id="28" w:name="_Toc86407917"/>
      <w:bookmarkEnd w:id="10"/>
      <w:bookmarkEnd w:id="11"/>
      <w:r>
        <w:rPr>
          <w:rFonts w:cs="Arial"/>
          <w:szCs w:val="24"/>
        </w:rPr>
        <w:t>This document will be available on:</w:t>
      </w:r>
    </w:p>
    <w:p w:rsidR="0058075F" w:rsidP="0058075F" w14:paraId="741E5598" w14:textId="6EE97D9F">
      <w:pPr>
        <w:pStyle w:val="ListParagraph"/>
        <w:numPr>
          <w:ilvl w:val="0"/>
          <w:numId w:val="14"/>
        </w:numPr>
        <w:rPr>
          <w:rFonts w:cs="Arial"/>
          <w:szCs w:val="24"/>
        </w:rPr>
      </w:pPr>
      <w:r>
        <w:rPr>
          <w:rFonts w:cs="Arial"/>
          <w:szCs w:val="24"/>
        </w:rPr>
        <w:t>QPulse</w:t>
      </w:r>
      <w:r>
        <w:rPr>
          <w:rFonts w:cs="Arial"/>
          <w:szCs w:val="24"/>
        </w:rPr>
        <w:t xml:space="preserve"> to all POCT staff</w:t>
      </w:r>
    </w:p>
    <w:p w:rsidR="0058075F" w:rsidRPr="0058075F" w:rsidP="0058075F" w14:paraId="0BA10C3B" w14:textId="661EC640">
      <w:pPr>
        <w:pStyle w:val="ListParagraph"/>
        <w:numPr>
          <w:ilvl w:val="0"/>
          <w:numId w:val="14"/>
        </w:numPr>
        <w:rPr>
          <w:rFonts w:cs="Arial"/>
          <w:szCs w:val="24"/>
        </w:rPr>
      </w:pPr>
      <w:r>
        <w:rPr>
          <w:rFonts w:cs="Arial"/>
          <w:szCs w:val="24"/>
        </w:rPr>
        <w:t>Trust intranet POCT Recertification and Training pages to all</w:t>
      </w:r>
      <w:r w:rsidR="00021248">
        <w:rPr>
          <w:rFonts w:cs="Arial"/>
          <w:szCs w:val="24"/>
        </w:rPr>
        <w:t xml:space="preserve"> POCT operators/end-users</w:t>
      </w:r>
    </w:p>
    <w:p w:rsidR="004801E6" w:rsidP="004801E6" w14:paraId="02E69FE0" w14:textId="77777777">
      <w:r w:rsidRPr="00592D9A">
        <w:t xml:space="preserve">All training documentation received by POCT is scanned and retained in the </w:t>
      </w:r>
      <w:r w:rsidRPr="006E2292">
        <w:rPr>
          <w:i/>
          <w:iCs/>
        </w:rPr>
        <w:t>X:Drive</w:t>
      </w:r>
      <w:r w:rsidRPr="006E2292">
        <w:rPr>
          <w:i/>
          <w:iCs/>
        </w:rPr>
        <w:t xml:space="preserve"> &gt; Biochemistry &gt; POCT &gt; Training Records</w:t>
      </w:r>
    </w:p>
    <w:p w:rsidR="005B7D3F" w:rsidP="005B7D3F" w14:paraId="0C501482" w14:textId="4127CAED">
      <w:pPr>
        <w:pStyle w:val="Heading1"/>
      </w:pPr>
      <w:bookmarkStart w:id="29" w:name="_Toc256000010"/>
      <w:r w:rsidRPr="00897607">
        <w:t>References</w:t>
      </w:r>
      <w:bookmarkEnd w:id="29"/>
      <w:bookmarkStart w:id="30" w:name="_Toc434312279"/>
      <w:bookmarkStart w:id="31" w:name="_Toc86407923"/>
      <w:bookmarkEnd w:id="27"/>
      <w:bookmarkEnd w:id="28"/>
    </w:p>
    <w:p w:rsidR="005B7D3F" w:rsidRPr="00EF0BBC" w:rsidP="00710001" w14:paraId="772F79D1" w14:textId="77777777">
      <w:pPr>
        <w:pStyle w:val="Default"/>
        <w:numPr>
          <w:ilvl w:val="0"/>
          <w:numId w:val="13"/>
        </w:numPr>
        <w:spacing w:after="78"/>
        <w:rPr>
          <w:color w:val="auto"/>
          <w:sz w:val="22"/>
          <w:szCs w:val="22"/>
        </w:rPr>
      </w:pPr>
      <w:r w:rsidRPr="00EF0BBC">
        <w:rPr>
          <w:color w:val="auto"/>
          <w:sz w:val="22"/>
          <w:szCs w:val="22"/>
        </w:rPr>
        <w:t xml:space="preserve">ISO Standards </w:t>
      </w:r>
      <w:r w:rsidRPr="00EF0BBC">
        <w:rPr>
          <w:b/>
          <w:bCs/>
          <w:color w:val="auto"/>
          <w:sz w:val="22"/>
          <w:szCs w:val="22"/>
        </w:rPr>
        <w:t xml:space="preserve">ISO 15189:2022 </w:t>
      </w:r>
    </w:p>
    <w:p w:rsidR="005B7D3F" w:rsidRPr="00EF0BBC" w:rsidP="00710001" w14:paraId="736148C6" w14:textId="77777777">
      <w:pPr>
        <w:pStyle w:val="Default"/>
        <w:numPr>
          <w:ilvl w:val="0"/>
          <w:numId w:val="13"/>
        </w:numPr>
        <w:spacing w:after="78"/>
        <w:rPr>
          <w:color w:val="auto"/>
          <w:sz w:val="22"/>
          <w:szCs w:val="22"/>
        </w:rPr>
      </w:pPr>
      <w:r w:rsidRPr="00EF0BBC">
        <w:rPr>
          <w:color w:val="auto"/>
          <w:sz w:val="22"/>
          <w:szCs w:val="22"/>
        </w:rPr>
        <w:t xml:space="preserve">Management and Use of IVD Point of Care Test Devices, MHRA DB2010(02), February 2010 Available from www.mhra.gov.uk </w:t>
      </w:r>
    </w:p>
    <w:p w:rsidR="005B7D3F" w:rsidRPr="00EF0BBC" w:rsidP="00710001" w14:paraId="7631CBE3" w14:textId="77777777">
      <w:pPr>
        <w:pStyle w:val="Default"/>
        <w:numPr>
          <w:ilvl w:val="0"/>
          <w:numId w:val="13"/>
        </w:numPr>
        <w:rPr>
          <w:color w:val="auto"/>
          <w:sz w:val="22"/>
          <w:szCs w:val="22"/>
        </w:rPr>
      </w:pPr>
      <w:r w:rsidRPr="00EF0BBC">
        <w:rPr>
          <w:color w:val="auto"/>
          <w:sz w:val="22"/>
          <w:szCs w:val="22"/>
        </w:rPr>
        <w:t xml:space="preserve">Guidelines on Point of Care Testing, Royal College of Pathologists 2004 Available from www.rcpath.org/resources/pdf/point-of-caretesting-updatedoct04.pdf </w:t>
      </w:r>
    </w:p>
    <w:p w:rsidR="00404FFF" w:rsidRPr="00897607" w:rsidP="006F71C0" w14:paraId="4A31838E" w14:textId="77777777">
      <w:pPr>
        <w:pStyle w:val="Heading1"/>
      </w:pPr>
      <w:bookmarkStart w:id="32" w:name="_Toc256000011"/>
      <w:r w:rsidRPr="00897607">
        <w:t>Associated Documents</w:t>
      </w:r>
      <w:bookmarkEnd w:id="32"/>
    </w:p>
    <w:p w:rsidR="003C5DFC" w:rsidRPr="00774595" w:rsidP="003C5DFC" w14:paraId="66676E91" w14:textId="13E1B9C3">
      <w:pPr>
        <w:pStyle w:val="ListParagraph"/>
        <w:numPr>
          <w:ilvl w:val="0"/>
          <w:numId w:val="12"/>
        </w:numPr>
        <w:rPr>
          <w:szCs w:val="22"/>
        </w:rPr>
      </w:pPr>
      <w:r w:rsidRPr="00030CE4">
        <w:t>SHYPS Training, Education &amp; Development Policy</w:t>
      </w:r>
      <w:r>
        <w:t xml:space="preserve"> (</w:t>
      </w:r>
      <w:r w:rsidRPr="00030CE4">
        <w:t>NT/POL/SHY-1</w:t>
      </w:r>
      <w:r w:rsidR="00774595">
        <w:t>)</w:t>
      </w:r>
    </w:p>
    <w:p w:rsidR="00DD2228" w:rsidRPr="000954DE" w:rsidP="000954DE" w14:paraId="6DF1DBB3" w14:textId="0E01B6E4">
      <w:pPr>
        <w:pStyle w:val="ListParagraph"/>
        <w:numPr>
          <w:ilvl w:val="0"/>
          <w:numId w:val="12"/>
        </w:numPr>
        <w:rPr>
          <w:szCs w:val="22"/>
        </w:rPr>
      </w:pPr>
      <w:r>
        <w:t>POCT Policy (PC/POL/YS-1)</w:t>
      </w:r>
      <w:bookmarkEnd w:id="30"/>
      <w:bookmarkEnd w:id="31"/>
    </w:p>
    <w:sectPr w:rsidSect="004A658E">
      <w:type w:val="continuous"/>
      <w:pgSz w:w="11906" w:h="16838" w:code="9"/>
      <w:pgMar w:top="1191" w:right="1134" w:bottom="1191" w:left="1134" w:header="283" w:footer="720" w:gutter="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17" w:author="WILKINSON, Clemora (YORK AND SCARBOROUGH TEACHING HOSPITALS NHS FOUNDATION TRUST)" w:date="2025-04-16T10:14:00Z" w:initials="CW">
    <w:p w:rsidR="009E636B" w:rsidP="009E636B" w14:paraId="7E4FD5C6">
      <w:pPr>
        <w:pStyle w:val="CommentText"/>
      </w:pPr>
      <w:r>
        <w:rPr>
          <w:rStyle w:val="CommentReference"/>
        </w:rPr>
        <w:annotationRef/>
      </w:r>
      <w:r>
        <w:rPr>
          <w:lang w:val="en-US"/>
        </w:rPr>
        <w:t>Add pre-cert info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7E4FD5C6"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6EC6" w14:paraId="49098BE1" w14:textId="6457FA3B">
    <w:pPr>
      <w:pStyle w:val="Footer"/>
    </w:pPr>
    <w:r>
      <w:ptab w:relativeTo="margin" w:alignment="center" w:leader="none"/>
    </w:r>
    <w:r>
      <w:t>UN</w:t>
    </w:r>
    <w:r w:rsidR="00FC347C">
      <w:t>AUTHORISED COPY</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E63" w14:paraId="4B09494F" w14:textId="77777777">
    <w:pPr>
      <w:pStyle w:val="Footer"/>
      <w:jc w:val="right"/>
    </w:pPr>
  </w:p>
  <w:p w:rsidR="00AB4E63" w14:paraId="3E4E2A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206" w:type="dxa"/>
      <w:tblBorders>
        <w:top w:val="single" w:sz="4" w:space="0" w:color="auto"/>
        <w:bottom w:val="single" w:sz="4" w:space="0" w:color="auto"/>
      </w:tblBorders>
      <w:tblLayout w:type="fixed"/>
      <w:tblLook w:val="0000"/>
    </w:tblPr>
    <w:tblGrid>
      <w:gridCol w:w="10206"/>
    </w:tblGrid>
    <w:tr w14:paraId="47F34B6D" w14:textId="77777777" w:rsidTr="00702907">
      <w:tblPrEx>
        <w:tblW w:w="10206" w:type="dxa"/>
        <w:tblBorders>
          <w:top w:val="single" w:sz="4" w:space="0" w:color="auto"/>
          <w:bottom w:val="single" w:sz="4" w:space="0" w:color="auto"/>
        </w:tblBorders>
        <w:tblLayout w:type="fixed"/>
        <w:tblLook w:val="0000"/>
      </w:tblPrEx>
      <w:trPr>
        <w:trHeight w:val="422"/>
        <w:tblHeader/>
      </w:trPr>
      <w:tc>
        <w:tcPr>
          <w:tcW w:w="10206" w:type="dxa"/>
          <w:shd w:val="pct5" w:color="auto" w:fill="FFFFFF"/>
        </w:tcPr>
        <w:p w:rsidR="00227536" w:rsidRPr="006E2727" w:rsidP="00702907" w14:paraId="3B47646F" w14:textId="2CF2FD6D">
          <w:pPr>
            <w:pStyle w:val="Header"/>
            <w:tabs>
              <w:tab w:val="clear" w:pos="8306"/>
              <w:tab w:val="right" w:pos="9531"/>
            </w:tabs>
            <w:spacing w:before="120" w:after="40"/>
            <w:rPr>
              <w:rFonts w:cs="Arial"/>
              <w:bCs/>
              <w:sz w:val="18"/>
              <w:szCs w:val="18"/>
            </w:rPr>
          </w:pPr>
          <w:r w:rsidRPr="006E2727">
            <w:rPr>
              <w:rFonts w:cs="Arial"/>
              <w:bCs/>
              <w:iCs/>
              <w:noProof/>
              <w:sz w:val="18"/>
              <w:szCs w:val="18"/>
              <w:lang w:eastAsia="en-GB"/>
            </w:rPr>
            <w:drawing>
              <wp:anchor distT="0" distB="0" distL="114300" distR="114300" simplePos="0" relativeHeight="251659264" behindDoc="0" locked="0" layoutInCell="1" allowOverlap="1">
                <wp:simplePos x="0" y="0"/>
                <wp:positionH relativeFrom="column">
                  <wp:posOffset>2872214</wp:posOffset>
                </wp:positionH>
                <wp:positionV relativeFrom="paragraph">
                  <wp:posOffset>67558</wp:posOffset>
                </wp:positionV>
                <wp:extent cx="3463485" cy="580446"/>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12793"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463067" cy="580376"/>
                        </a:xfrm>
                        <a:prstGeom prst="rect">
                          <a:avLst/>
                        </a:prstGeom>
                        <a:noFill/>
                      </pic:spPr>
                    </pic:pic>
                  </a:graphicData>
                </a:graphic>
                <wp14:sizeRelH relativeFrom="page">
                  <wp14:pctWidth>0</wp14:pctWidth>
                </wp14:sizeRelH>
                <wp14:sizeRelV relativeFrom="page">
                  <wp14:pctHeight>0</wp14:pctHeight>
                </wp14:sizeRelV>
              </wp:anchor>
            </w:drawing>
          </w:r>
          <w:r w:rsidRPr="006E2727" w:rsidR="00702907">
            <w:rPr>
              <w:rFonts w:cs="Arial"/>
              <w:bCs/>
              <w:iCs/>
              <w:sz w:val="18"/>
              <w:szCs w:val="18"/>
            </w:rPr>
            <w:t>Service: SHYPS</w:t>
          </w:r>
          <w:r w:rsidR="00AB228A">
            <w:rPr>
              <w:rFonts w:cs="Arial"/>
              <w:bCs/>
              <w:iCs/>
              <w:sz w:val="18"/>
              <w:szCs w:val="18"/>
            </w:rPr>
            <w:t>/POCT/Y&amp;S</w:t>
          </w:r>
          <w:r w:rsidRPr="006E2727" w:rsidR="00041323">
            <w:rPr>
              <w:rFonts w:cs="Arial"/>
              <w:bCs/>
              <w:i/>
              <w:sz w:val="18"/>
              <w:szCs w:val="18"/>
            </w:rPr>
            <w:t xml:space="preserve">                                                                                                                                      </w:t>
          </w:r>
          <w:r w:rsidRPr="006E2727">
            <w:rPr>
              <w:rFonts w:cs="Arial"/>
              <w:bCs/>
              <w:i/>
              <w:sz w:val="18"/>
              <w:szCs w:val="18"/>
            </w:rPr>
            <w:t xml:space="preserve">                                                                                </w:t>
          </w:r>
          <w:r w:rsidRPr="006E2727">
            <w:rPr>
              <w:rFonts w:cs="Arial"/>
              <w:bCs/>
              <w:sz w:val="18"/>
              <w:szCs w:val="18"/>
            </w:rPr>
            <w:t>Filename:</w:t>
          </w:r>
          <w:r w:rsidRPr="006E2727">
            <w:rPr>
              <w:sz w:val="18"/>
              <w:szCs w:val="18"/>
            </w:rPr>
            <w:t xml:space="preserve"> </w:t>
          </w:r>
          <w:r w:rsidR="00AB228A">
            <w:rPr>
              <w:sz w:val="18"/>
              <w:szCs w:val="18"/>
            </w:rPr>
            <w:t>PC/POL/YS</w:t>
          </w:r>
          <w:r w:rsidR="00106519">
            <w:rPr>
              <w:sz w:val="18"/>
              <w:szCs w:val="18"/>
            </w:rPr>
            <w:t>-3</w:t>
          </w:r>
          <w:r w:rsidRPr="006E2727">
            <w:rPr>
              <w:sz w:val="18"/>
              <w:szCs w:val="18"/>
            </w:rPr>
            <w:t xml:space="preserve">                                                                                                    </w:t>
          </w:r>
          <w:r w:rsidRPr="006E2727">
            <w:rPr>
              <w:rFonts w:cs="Arial"/>
              <w:bCs/>
              <w:sz w:val="18"/>
              <w:szCs w:val="18"/>
            </w:rPr>
            <w:t xml:space="preserve">                                              </w:t>
          </w:r>
        </w:p>
        <w:p w:rsidR="00227536" w:rsidRPr="006E2727" w:rsidP="00AA0AB3" w14:paraId="3CE4D5B5" w14:textId="5186B36D">
          <w:pPr>
            <w:pStyle w:val="Header"/>
            <w:tabs>
              <w:tab w:val="clear" w:pos="4153"/>
              <w:tab w:val="center" w:pos="9459"/>
            </w:tabs>
            <w:spacing w:before="40" w:after="40"/>
            <w:jc w:val="both"/>
            <w:rPr>
              <w:rFonts w:cs="Arial"/>
              <w:bCs/>
              <w:sz w:val="18"/>
              <w:szCs w:val="18"/>
            </w:rPr>
          </w:pPr>
          <w:r w:rsidRPr="006E2727">
            <w:rPr>
              <w:rFonts w:cs="Arial"/>
              <w:bCs/>
              <w:sz w:val="18"/>
              <w:szCs w:val="18"/>
            </w:rPr>
            <w:t>Version:</w:t>
          </w:r>
          <w:r w:rsidRPr="006E2727" w:rsidR="006E2727">
            <w:rPr>
              <w:rFonts w:cs="Arial"/>
              <w:bCs/>
              <w:sz w:val="18"/>
              <w:szCs w:val="18"/>
            </w:rPr>
            <w:t xml:space="preserve"> </w:t>
          </w:r>
          <w:r w:rsidR="00AB228A">
            <w:rPr>
              <w:rFonts w:cs="Arial"/>
              <w:bCs/>
              <w:sz w:val="18"/>
              <w:szCs w:val="18"/>
            </w:rPr>
            <w:t>1</w:t>
          </w:r>
          <w:r w:rsidRPr="006E2727">
            <w:rPr>
              <w:sz w:val="18"/>
              <w:szCs w:val="18"/>
            </w:rPr>
            <w:t xml:space="preserve">                                                                                                 </w:t>
          </w:r>
          <w:r w:rsidRPr="006E2727">
            <w:rPr>
              <w:rFonts w:cs="Arial"/>
              <w:bCs/>
              <w:sz w:val="18"/>
              <w:szCs w:val="18"/>
            </w:rPr>
            <w:t xml:space="preserve">                                              </w:t>
          </w:r>
        </w:p>
        <w:p w:rsidR="00227536" w:rsidRPr="006E2727" w:rsidP="00AA0AB3" w14:paraId="31E7635C" w14:textId="10F5E84A">
          <w:pPr>
            <w:pStyle w:val="Header"/>
            <w:tabs>
              <w:tab w:val="clear" w:pos="4153"/>
              <w:tab w:val="center" w:pos="9459"/>
            </w:tabs>
            <w:spacing w:before="40" w:after="40"/>
            <w:jc w:val="both"/>
            <w:rPr>
              <w:rFonts w:cs="Arial"/>
              <w:bCs/>
              <w:sz w:val="18"/>
              <w:szCs w:val="18"/>
            </w:rPr>
          </w:pPr>
          <w:r w:rsidRPr="006E2727">
            <w:rPr>
              <w:rFonts w:cs="Arial"/>
              <w:bCs/>
              <w:sz w:val="18"/>
              <w:szCs w:val="18"/>
            </w:rPr>
            <w:t>Date of Issue:</w:t>
          </w:r>
          <w:r w:rsidRPr="006E2727" w:rsidR="00023087">
            <w:rPr>
              <w:rFonts w:cs="Arial"/>
              <w:bCs/>
              <w:sz w:val="18"/>
              <w:szCs w:val="18"/>
            </w:rPr>
            <w:t xml:space="preserve"> </w:t>
          </w:r>
          <w:r w:rsidR="00AB228A">
            <w:rPr>
              <w:rFonts w:cs="Arial"/>
              <w:bCs/>
              <w:sz w:val="18"/>
              <w:szCs w:val="18"/>
            </w:rPr>
            <w:t>April</w:t>
          </w:r>
          <w:r w:rsidR="00897607">
            <w:rPr>
              <w:rFonts w:cs="Arial"/>
              <w:bCs/>
              <w:sz w:val="18"/>
              <w:szCs w:val="18"/>
            </w:rPr>
            <w:t xml:space="preserve"> 2025</w:t>
          </w:r>
          <w:r w:rsidRPr="006E2727">
            <w:rPr>
              <w:sz w:val="18"/>
              <w:szCs w:val="18"/>
            </w:rPr>
            <w:t xml:space="preserve">                                                                                                   </w:t>
          </w:r>
          <w:r w:rsidRPr="006E2727">
            <w:rPr>
              <w:rFonts w:cs="Arial"/>
              <w:bCs/>
              <w:sz w:val="18"/>
              <w:szCs w:val="18"/>
            </w:rPr>
            <w:t xml:space="preserve">                                                                                                                                                                     </w:t>
          </w:r>
        </w:p>
        <w:p w:rsidR="00227536" w:rsidRPr="005B12C0" w:rsidP="00AA0AB3" w14:paraId="14DB9BC3" w14:textId="77777777">
          <w:pPr>
            <w:pStyle w:val="Header"/>
            <w:spacing w:before="40" w:after="40"/>
            <w:jc w:val="both"/>
            <w:rPr>
              <w:rFonts w:cs="Arial"/>
              <w:bCs/>
              <w:sz w:val="18"/>
              <w:szCs w:val="18"/>
            </w:rPr>
          </w:pPr>
          <w:r w:rsidRPr="006E2727">
            <w:rPr>
              <w:rFonts w:cs="Arial"/>
              <w:bCs/>
              <w:snapToGrid w:val="0"/>
              <w:sz w:val="18"/>
              <w:szCs w:val="18"/>
            </w:rPr>
            <w:t xml:space="preserve">Page </w:t>
          </w:r>
          <w:r w:rsidRPr="006E2727">
            <w:rPr>
              <w:rFonts w:cs="Arial"/>
              <w:bCs/>
              <w:snapToGrid w:val="0"/>
              <w:sz w:val="18"/>
              <w:szCs w:val="18"/>
            </w:rPr>
            <w:fldChar w:fldCharType="begin"/>
          </w:r>
          <w:r w:rsidRPr="006E2727">
            <w:rPr>
              <w:rFonts w:cs="Arial"/>
              <w:bCs/>
              <w:snapToGrid w:val="0"/>
              <w:sz w:val="18"/>
              <w:szCs w:val="18"/>
            </w:rPr>
            <w:instrText xml:space="preserve"> PAGE  \* MERGEFORMAT </w:instrText>
          </w:r>
          <w:r w:rsidRPr="006E2727">
            <w:rPr>
              <w:rFonts w:cs="Arial"/>
              <w:bCs/>
              <w:snapToGrid w:val="0"/>
              <w:sz w:val="18"/>
              <w:szCs w:val="18"/>
            </w:rPr>
            <w:fldChar w:fldCharType="separate"/>
          </w:r>
          <w:r w:rsidRPr="006E2727" w:rsidR="00A95486">
            <w:rPr>
              <w:rFonts w:ascii="Arial" w:hAnsi="Arial"/>
              <w:bCs/>
              <w:noProof/>
              <w:snapToGrid w:val="0"/>
              <w:sz w:val="18"/>
              <w:szCs w:val="18"/>
              <w:lang w:val="en-GB" w:eastAsia="en-US" w:bidi="ar-SA"/>
            </w:rPr>
            <w:t>6</w:t>
          </w:r>
          <w:r w:rsidRPr="006E2727">
            <w:rPr>
              <w:rFonts w:cs="Arial"/>
              <w:bCs/>
              <w:snapToGrid w:val="0"/>
              <w:sz w:val="18"/>
              <w:szCs w:val="18"/>
            </w:rPr>
            <w:fldChar w:fldCharType="end"/>
          </w:r>
          <w:r w:rsidRPr="006E2727">
            <w:rPr>
              <w:rFonts w:cs="Arial"/>
              <w:bCs/>
              <w:snapToGrid w:val="0"/>
              <w:sz w:val="18"/>
              <w:szCs w:val="18"/>
            </w:rPr>
            <w:t xml:space="preserve"> of </w:t>
          </w:r>
          <w:r w:rsidRPr="006E2727">
            <w:rPr>
              <w:rFonts w:cs="Arial"/>
              <w:bCs/>
              <w:snapToGrid w:val="0"/>
              <w:sz w:val="18"/>
              <w:szCs w:val="18"/>
            </w:rPr>
            <w:fldChar w:fldCharType="begin"/>
          </w:r>
          <w:r w:rsidRPr="006E2727">
            <w:rPr>
              <w:rFonts w:cs="Arial"/>
              <w:bCs/>
              <w:snapToGrid w:val="0"/>
              <w:sz w:val="18"/>
              <w:szCs w:val="18"/>
            </w:rPr>
            <w:instrText xml:space="preserve"> NUMPAGES  \* MERGEFORMAT </w:instrText>
          </w:r>
          <w:r w:rsidRPr="006E2727">
            <w:rPr>
              <w:rFonts w:cs="Arial"/>
              <w:bCs/>
              <w:snapToGrid w:val="0"/>
              <w:sz w:val="18"/>
              <w:szCs w:val="18"/>
            </w:rPr>
            <w:fldChar w:fldCharType="separate"/>
          </w:r>
          <w:r w:rsidRPr="006E2727" w:rsidR="00A95486">
            <w:rPr>
              <w:rFonts w:ascii="Arial" w:hAnsi="Arial"/>
              <w:bCs/>
              <w:noProof/>
              <w:snapToGrid w:val="0"/>
              <w:sz w:val="18"/>
              <w:szCs w:val="18"/>
              <w:lang w:val="en-GB" w:eastAsia="en-US" w:bidi="ar-SA"/>
            </w:rPr>
            <w:t>6</w:t>
          </w:r>
          <w:r w:rsidRPr="006E2727">
            <w:rPr>
              <w:rFonts w:cs="Arial"/>
              <w:bCs/>
              <w:snapToGrid w:val="0"/>
              <w:sz w:val="18"/>
              <w:szCs w:val="18"/>
            </w:rPr>
            <w:fldChar w:fldCharType="end"/>
          </w:r>
        </w:p>
      </w:tc>
    </w:tr>
  </w:tbl>
  <w:p w:rsidR="00BA4840" w:rsidP="004A658E" w14:paraId="5BA168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206" w:type="dxa"/>
      <w:tblInd w:w="108" w:type="dxa"/>
      <w:tblBorders>
        <w:top w:val="single" w:sz="4" w:space="0" w:color="auto"/>
        <w:bottom w:val="single" w:sz="4" w:space="0" w:color="auto"/>
      </w:tblBorders>
      <w:tblLayout w:type="fixed"/>
      <w:tblLook w:val="0000"/>
    </w:tblPr>
    <w:tblGrid>
      <w:gridCol w:w="10206"/>
    </w:tblGrid>
    <w:tr w14:paraId="78681137" w14:textId="77777777" w:rsidTr="006E187A">
      <w:tblPrEx>
        <w:tblW w:w="10206" w:type="dxa"/>
        <w:tblInd w:w="108" w:type="dxa"/>
        <w:tblBorders>
          <w:top w:val="single" w:sz="4" w:space="0" w:color="auto"/>
          <w:bottom w:val="single" w:sz="4" w:space="0" w:color="auto"/>
        </w:tblBorders>
        <w:tblLayout w:type="fixed"/>
        <w:tblLook w:val="0000"/>
      </w:tblPrEx>
      <w:trPr>
        <w:trHeight w:val="422"/>
        <w:tblHeader/>
      </w:trPr>
      <w:tc>
        <w:tcPr>
          <w:tcW w:w="10206" w:type="dxa"/>
          <w:shd w:val="pct5" w:color="auto" w:fill="FFFFFF"/>
        </w:tcPr>
        <w:p w:rsidR="005973B2" w:rsidRPr="00035BE2" w:rsidP="006E187A" w14:paraId="7BDF2463" w14:textId="77777777">
          <w:pPr>
            <w:pStyle w:val="Header"/>
            <w:tabs>
              <w:tab w:val="clear" w:pos="8306"/>
              <w:tab w:val="right" w:pos="9531"/>
            </w:tabs>
            <w:spacing w:before="120" w:after="40"/>
            <w:rPr>
              <w:rFonts w:cs="Arial"/>
              <w:bCs/>
              <w:color w:val="000000"/>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simplePos x="0" y="0"/>
                <wp:positionH relativeFrom="column">
                  <wp:posOffset>3583940</wp:posOffset>
                </wp:positionH>
                <wp:positionV relativeFrom="paragraph">
                  <wp:posOffset>66565</wp:posOffset>
                </wp:positionV>
                <wp:extent cx="2750820" cy="4610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22985"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50820" cy="46101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color w:val="000000"/>
              <w:sz w:val="18"/>
              <w:szCs w:val="18"/>
            </w:rPr>
            <w:t xml:space="preserve">Service:   </w:t>
          </w:r>
          <w:r w:rsidRPr="00C832EE">
            <w:rPr>
              <w:rFonts w:cs="Arial"/>
              <w:bCs/>
              <w:i/>
              <w:color w:val="4F81BD" w:themeColor="accent1"/>
              <w:sz w:val="18"/>
              <w:szCs w:val="18"/>
            </w:rPr>
            <w:t xml:space="preserve">Scarborough, Hull, York Pathology Services                                                                                                                                 </w:t>
          </w:r>
          <w:r w:rsidRPr="00035BE2">
            <w:rPr>
              <w:rFonts w:cs="Arial"/>
              <w:bCs/>
              <w:sz w:val="18"/>
              <w:szCs w:val="18"/>
            </w:rPr>
            <w:t>Filename:</w:t>
          </w:r>
          <w:r>
            <w:rPr>
              <w:sz w:val="18"/>
              <w:szCs w:val="18"/>
            </w:rPr>
            <w:t xml:space="preserve"> </w:t>
          </w:r>
          <w:r w:rsidRPr="00C832EE">
            <w:rPr>
              <w:i/>
              <w:color w:val="4F81BD" w:themeColor="accent1"/>
              <w:sz w:val="18"/>
              <w:szCs w:val="18"/>
            </w:rPr>
            <w:t>QMS/F</w:t>
          </w:r>
          <w:r>
            <w:rPr>
              <w:i/>
              <w:color w:val="4F81BD" w:themeColor="accent1"/>
              <w:sz w:val="18"/>
              <w:szCs w:val="18"/>
            </w:rPr>
            <w:t>/23</w:t>
          </w:r>
          <w:r w:rsidRPr="00C832EE">
            <w:rPr>
              <w:i/>
              <w:color w:val="4F81BD" w:themeColor="accent1"/>
              <w:sz w:val="18"/>
              <w:szCs w:val="18"/>
            </w:rPr>
            <w:t xml:space="preserve"> (HULL) or LM-TEM-</w:t>
          </w:r>
          <w:r>
            <w:rPr>
              <w:i/>
              <w:color w:val="4F81BD" w:themeColor="accent1"/>
              <w:sz w:val="18"/>
              <w:szCs w:val="18"/>
            </w:rPr>
            <w:t>POL</w:t>
          </w:r>
          <w:r w:rsidRPr="00C832EE">
            <w:rPr>
              <w:i/>
              <w:color w:val="4F81BD" w:themeColor="accent1"/>
              <w:sz w:val="18"/>
              <w:szCs w:val="18"/>
            </w:rPr>
            <w:t xml:space="preserve"> (Y&amp;S)                                                                                                    </w:t>
          </w:r>
          <w:r w:rsidRPr="00C832EE">
            <w:rPr>
              <w:rFonts w:cs="Arial"/>
              <w:bCs/>
              <w:i/>
              <w:color w:val="4F81BD" w:themeColor="accent1"/>
              <w:sz w:val="18"/>
              <w:szCs w:val="18"/>
            </w:rPr>
            <w:t xml:space="preserve">                                              </w:t>
          </w:r>
        </w:p>
        <w:p w:rsidR="005973B2" w:rsidP="006E187A" w14:paraId="3A83D2CA" w14:textId="77777777">
          <w:pPr>
            <w:pStyle w:val="Header"/>
            <w:tabs>
              <w:tab w:val="clear" w:pos="4153"/>
              <w:tab w:val="center" w:pos="9459"/>
            </w:tabs>
            <w:spacing w:before="40" w:after="40"/>
            <w:rPr>
              <w:rFonts w:cs="Arial"/>
              <w:bCs/>
              <w:sz w:val="18"/>
              <w:szCs w:val="18"/>
            </w:rPr>
          </w:pPr>
          <w:r w:rsidRPr="00035BE2">
            <w:rPr>
              <w:rFonts w:cs="Arial"/>
              <w:bCs/>
              <w:sz w:val="18"/>
              <w:szCs w:val="18"/>
            </w:rPr>
            <w:t>Version:</w:t>
          </w:r>
          <w:r>
            <w:rPr>
              <w:rFonts w:cs="Arial"/>
              <w:bCs/>
              <w:sz w:val="18"/>
              <w:szCs w:val="18"/>
            </w:rPr>
            <w:t xml:space="preserve"> </w:t>
          </w:r>
          <w:r w:rsidRPr="00C832EE">
            <w:rPr>
              <w:bCs/>
              <w:i/>
              <w:color w:val="4F81BD" w:themeColor="accent1"/>
              <w:sz w:val="18"/>
              <w:szCs w:val="18"/>
            </w:rPr>
            <w:t>01 (HULL) or 08 (Y&amp;S)</w:t>
          </w:r>
          <w:r w:rsidRPr="00C832EE">
            <w:rPr>
              <w:i/>
              <w:color w:val="4F81BD" w:themeColor="accent1"/>
              <w:sz w:val="18"/>
              <w:szCs w:val="18"/>
            </w:rPr>
            <w:t xml:space="preserve">                                                                                                 </w:t>
          </w:r>
          <w:r w:rsidRPr="00C832EE">
            <w:rPr>
              <w:rFonts w:cs="Arial"/>
              <w:bCs/>
              <w:i/>
              <w:color w:val="4F81BD" w:themeColor="accent1"/>
              <w:sz w:val="18"/>
              <w:szCs w:val="18"/>
            </w:rPr>
            <w:t xml:space="preserve">                                              </w:t>
          </w:r>
        </w:p>
        <w:p w:rsidR="005973B2" w:rsidRPr="00035BE2" w:rsidP="006E187A" w14:paraId="6E3A6DB7" w14:textId="77777777">
          <w:pPr>
            <w:pStyle w:val="Header"/>
            <w:tabs>
              <w:tab w:val="clear" w:pos="4153"/>
              <w:tab w:val="center" w:pos="9459"/>
            </w:tabs>
            <w:spacing w:before="40" w:after="40"/>
            <w:rPr>
              <w:rFonts w:cs="Arial"/>
              <w:bCs/>
              <w:color w:val="000000"/>
              <w:sz w:val="18"/>
              <w:szCs w:val="18"/>
            </w:rPr>
          </w:pPr>
          <w:r w:rsidRPr="0075089A">
            <w:rPr>
              <w:rFonts w:cs="Arial"/>
              <w:bCs/>
              <w:sz w:val="18"/>
              <w:szCs w:val="18"/>
            </w:rPr>
            <w:t xml:space="preserve">Date of Issue:  </w:t>
          </w:r>
          <w:r w:rsidRPr="00C832EE">
            <w:rPr>
              <w:rFonts w:cs="Arial"/>
              <w:bCs/>
              <w:i/>
              <w:color w:val="4F81BD" w:themeColor="accent1"/>
              <w:sz w:val="18"/>
              <w:szCs w:val="18"/>
            </w:rPr>
            <w:t>February 2022</w:t>
          </w:r>
          <w:r w:rsidRPr="00C832EE">
            <w:rPr>
              <w:i/>
              <w:color w:val="4F81BD" w:themeColor="accent1"/>
              <w:sz w:val="18"/>
              <w:szCs w:val="18"/>
            </w:rPr>
            <w:t xml:space="preserve">                                                                                                     </w:t>
          </w:r>
          <w:r w:rsidRPr="00C832EE">
            <w:rPr>
              <w:rFonts w:cs="Arial"/>
              <w:bCs/>
              <w:i/>
              <w:color w:val="4F81BD" w:themeColor="accent1"/>
              <w:sz w:val="18"/>
              <w:szCs w:val="18"/>
            </w:rPr>
            <w:t xml:space="preserve">                                                                                                                                                                     </w:t>
          </w:r>
        </w:p>
        <w:p w:rsidR="005973B2" w:rsidRPr="005B12C0" w:rsidP="006E187A" w14:paraId="528FF99E" w14:textId="77777777">
          <w:pPr>
            <w:pStyle w:val="Header"/>
            <w:spacing w:before="4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Pr="00604542" w:rsidR="00604542">
            <w:rPr>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Pr="00604542" w:rsidR="00604542">
            <w:rPr>
              <w:bCs/>
              <w:noProof/>
              <w:snapToGrid w:val="0"/>
              <w:sz w:val="18"/>
              <w:szCs w:val="18"/>
            </w:rPr>
            <w:t>3</w:t>
          </w:r>
          <w:r w:rsidRPr="00035BE2">
            <w:rPr>
              <w:rFonts w:cs="Arial"/>
              <w:bCs/>
              <w:snapToGrid w:val="0"/>
              <w:sz w:val="18"/>
              <w:szCs w:val="18"/>
            </w:rPr>
            <w:fldChar w:fldCharType="end"/>
          </w:r>
        </w:p>
      </w:tc>
    </w:tr>
  </w:tbl>
  <w:p w:rsidR="001A42B2" w:rsidP="001A42B2" w14:paraId="4B695D9F" w14:textId="77777777">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nsid w:val="044E8DEB"/>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598356D"/>
    <w:multiLevelType w:val="hybridMultilevel"/>
    <w:tmpl w:val="9B98A0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4">
    <w:nsid w:val="2228066D"/>
    <w:multiLevelType w:val="hybridMultilevel"/>
    <w:tmpl w:val="5E067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2C27C6"/>
    <w:multiLevelType w:val="hybridMultilevel"/>
    <w:tmpl w:val="111E13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FC57D7"/>
    <w:multiLevelType w:val="multilevel"/>
    <w:tmpl w:val="F4367ADC"/>
    <w:lvl w:ilvl="0">
      <w:start w:val="1"/>
      <w:numFmt w:val="decimal"/>
      <w:pStyle w:val="Heading1"/>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14C5BBA"/>
    <w:multiLevelType w:val="hybridMultilevel"/>
    <w:tmpl w:val="8A0A3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074C0F"/>
    <w:multiLevelType w:val="hybridMultilevel"/>
    <w:tmpl w:val="56904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257C92"/>
    <w:multiLevelType w:val="hybridMultilevel"/>
    <w:tmpl w:val="A684B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E66504"/>
    <w:multiLevelType w:val="hybridMultilevel"/>
    <w:tmpl w:val="3BA46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D283A7A"/>
    <w:multiLevelType w:val="hybridMultilevel"/>
    <w:tmpl w:val="73D66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D1E61"/>
    <w:multiLevelType w:val="hybridMultilevel"/>
    <w:tmpl w:val="26DC4D82"/>
    <w:lvl w:ilvl="0">
      <w:start w:val="1"/>
      <w:numFmt w:val="bullet"/>
      <w:pStyle w:val="GBNormal"/>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3">
    <w:nsid w:val="705D6459"/>
    <w:multiLevelType w:val="hybridMultilevel"/>
    <w:tmpl w:val="F424A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004257"/>
    <w:multiLevelType w:val="hybridMultilevel"/>
    <w:tmpl w:val="8BFE1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BF4D67"/>
    <w:multiLevelType w:val="hybridMultilevel"/>
    <w:tmpl w:val="21AC2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F4188D7"/>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6"/>
  </w:num>
  <w:num w:numId="3">
    <w:abstractNumId w:val="0"/>
  </w:num>
  <w:num w:numId="4">
    <w:abstractNumId w:val="12"/>
  </w:num>
  <w:num w:numId="5">
    <w:abstractNumId w:val="8"/>
  </w:num>
  <w:num w:numId="6">
    <w:abstractNumId w:val="9"/>
  </w:num>
  <w:num w:numId="7">
    <w:abstractNumId w:val="15"/>
  </w:num>
  <w:num w:numId="8">
    <w:abstractNumId w:val="13"/>
  </w:num>
  <w:num w:numId="9">
    <w:abstractNumId w:val="5"/>
  </w:num>
  <w:num w:numId="10">
    <w:abstractNumId w:val="1"/>
  </w:num>
  <w:num w:numId="11">
    <w:abstractNumId w:val="7"/>
  </w:num>
  <w:num w:numId="12">
    <w:abstractNumId w:val="10"/>
  </w:num>
  <w:num w:numId="13">
    <w:abstractNumId w:val="2"/>
  </w:num>
  <w:num w:numId="14">
    <w:abstractNumId w:val="14"/>
  </w:num>
  <w:num w:numId="15">
    <w:abstractNumId w:val="4"/>
  </w:num>
  <w:num w:numId="16">
    <w:abstractNumId w:val="11"/>
  </w:num>
  <w:num w:numId="17">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ILKINSON, Clemora (YORK AND SCARBOROUGH TEACHING HOSPITALS NHS FOUNDATION TRUST)">
    <w15:presenceInfo w15:providerId="AD" w15:userId="S::clemora.wilkinson@nhs.net::50bef897-f3be-4f41-89b6-3aa7d2464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75"/>
  <w:drawingGridVerticalSpacing w:val="102"/>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AC"/>
    <w:rsid w:val="000012D7"/>
    <w:rsid w:val="00021248"/>
    <w:rsid w:val="00023087"/>
    <w:rsid w:val="0002567E"/>
    <w:rsid w:val="00025E1C"/>
    <w:rsid w:val="000277BE"/>
    <w:rsid w:val="00030CE4"/>
    <w:rsid w:val="00035BE2"/>
    <w:rsid w:val="00040E21"/>
    <w:rsid w:val="00041323"/>
    <w:rsid w:val="00042173"/>
    <w:rsid w:val="00043259"/>
    <w:rsid w:val="000642FA"/>
    <w:rsid w:val="00067D34"/>
    <w:rsid w:val="000772FF"/>
    <w:rsid w:val="00093AEC"/>
    <w:rsid w:val="000954DE"/>
    <w:rsid w:val="000A5105"/>
    <w:rsid w:val="000A6255"/>
    <w:rsid w:val="000B1AA3"/>
    <w:rsid w:val="000C2A7E"/>
    <w:rsid w:val="000D24AC"/>
    <w:rsid w:val="000D3E77"/>
    <w:rsid w:val="000D3F46"/>
    <w:rsid w:val="000D7133"/>
    <w:rsid w:val="000D7518"/>
    <w:rsid w:val="000E3456"/>
    <w:rsid w:val="000E557D"/>
    <w:rsid w:val="000E7358"/>
    <w:rsid w:val="000E777E"/>
    <w:rsid w:val="000E78D4"/>
    <w:rsid w:val="000E7FDF"/>
    <w:rsid w:val="000F0E14"/>
    <w:rsid w:val="000F784E"/>
    <w:rsid w:val="00102F3A"/>
    <w:rsid w:val="00103991"/>
    <w:rsid w:val="00105A6D"/>
    <w:rsid w:val="00106519"/>
    <w:rsid w:val="001078FB"/>
    <w:rsid w:val="001112B2"/>
    <w:rsid w:val="001118C5"/>
    <w:rsid w:val="00112AF6"/>
    <w:rsid w:val="00115164"/>
    <w:rsid w:val="00120744"/>
    <w:rsid w:val="00145EB3"/>
    <w:rsid w:val="00154129"/>
    <w:rsid w:val="00156EFB"/>
    <w:rsid w:val="0017384E"/>
    <w:rsid w:val="001743B9"/>
    <w:rsid w:val="00174B06"/>
    <w:rsid w:val="001838F8"/>
    <w:rsid w:val="001A1D6A"/>
    <w:rsid w:val="001A42B2"/>
    <w:rsid w:val="001C12D9"/>
    <w:rsid w:val="001D0875"/>
    <w:rsid w:val="001D3A5A"/>
    <w:rsid w:val="001E3DE3"/>
    <w:rsid w:val="001E6134"/>
    <w:rsid w:val="001F08FE"/>
    <w:rsid w:val="00205B19"/>
    <w:rsid w:val="00205E49"/>
    <w:rsid w:val="00210F61"/>
    <w:rsid w:val="00217489"/>
    <w:rsid w:val="00226676"/>
    <w:rsid w:val="00227536"/>
    <w:rsid w:val="0024068A"/>
    <w:rsid w:val="00244AAC"/>
    <w:rsid w:val="00247304"/>
    <w:rsid w:val="00264C91"/>
    <w:rsid w:val="002876D0"/>
    <w:rsid w:val="00287C3E"/>
    <w:rsid w:val="002910BD"/>
    <w:rsid w:val="002A76C3"/>
    <w:rsid w:val="002B18C8"/>
    <w:rsid w:val="002B229E"/>
    <w:rsid w:val="002B67C7"/>
    <w:rsid w:val="002C0BC8"/>
    <w:rsid w:val="002C5007"/>
    <w:rsid w:val="002D6E05"/>
    <w:rsid w:val="002E17FD"/>
    <w:rsid w:val="002E5109"/>
    <w:rsid w:val="002F03F6"/>
    <w:rsid w:val="002F357B"/>
    <w:rsid w:val="002F449A"/>
    <w:rsid w:val="002F476B"/>
    <w:rsid w:val="00301163"/>
    <w:rsid w:val="00302063"/>
    <w:rsid w:val="00304F73"/>
    <w:rsid w:val="003051F5"/>
    <w:rsid w:val="003058B3"/>
    <w:rsid w:val="00305934"/>
    <w:rsid w:val="0030671F"/>
    <w:rsid w:val="00307ABA"/>
    <w:rsid w:val="0031005A"/>
    <w:rsid w:val="00314AA7"/>
    <w:rsid w:val="00317446"/>
    <w:rsid w:val="0033539D"/>
    <w:rsid w:val="00336289"/>
    <w:rsid w:val="00344251"/>
    <w:rsid w:val="00345DB5"/>
    <w:rsid w:val="0034705A"/>
    <w:rsid w:val="00351220"/>
    <w:rsid w:val="0035281D"/>
    <w:rsid w:val="0036384A"/>
    <w:rsid w:val="00363D31"/>
    <w:rsid w:val="00363E9A"/>
    <w:rsid w:val="003A6618"/>
    <w:rsid w:val="003C4B41"/>
    <w:rsid w:val="003C5DFC"/>
    <w:rsid w:val="003D3D08"/>
    <w:rsid w:val="003E1423"/>
    <w:rsid w:val="003E6918"/>
    <w:rsid w:val="003E7D7C"/>
    <w:rsid w:val="003F01AA"/>
    <w:rsid w:val="003F6285"/>
    <w:rsid w:val="00404C81"/>
    <w:rsid w:val="00404FFF"/>
    <w:rsid w:val="0040572E"/>
    <w:rsid w:val="00413E8B"/>
    <w:rsid w:val="00427AF3"/>
    <w:rsid w:val="00440468"/>
    <w:rsid w:val="00446E14"/>
    <w:rsid w:val="004600C3"/>
    <w:rsid w:val="00473B50"/>
    <w:rsid w:val="00474715"/>
    <w:rsid w:val="00474A5B"/>
    <w:rsid w:val="004801E6"/>
    <w:rsid w:val="00483311"/>
    <w:rsid w:val="0048350B"/>
    <w:rsid w:val="004879F8"/>
    <w:rsid w:val="004A370A"/>
    <w:rsid w:val="004A658E"/>
    <w:rsid w:val="004B2412"/>
    <w:rsid w:val="004B6423"/>
    <w:rsid w:val="004C1E5F"/>
    <w:rsid w:val="004C6CCF"/>
    <w:rsid w:val="004D06B6"/>
    <w:rsid w:val="004D7566"/>
    <w:rsid w:val="004E1514"/>
    <w:rsid w:val="004F3170"/>
    <w:rsid w:val="004F6ED7"/>
    <w:rsid w:val="00505B71"/>
    <w:rsid w:val="00520CE3"/>
    <w:rsid w:val="00524A5D"/>
    <w:rsid w:val="00526502"/>
    <w:rsid w:val="005328F6"/>
    <w:rsid w:val="00534613"/>
    <w:rsid w:val="00541F83"/>
    <w:rsid w:val="00542827"/>
    <w:rsid w:val="0054702D"/>
    <w:rsid w:val="00553F98"/>
    <w:rsid w:val="005547CF"/>
    <w:rsid w:val="00576096"/>
    <w:rsid w:val="0058075F"/>
    <w:rsid w:val="00585089"/>
    <w:rsid w:val="005920D9"/>
    <w:rsid w:val="00592120"/>
    <w:rsid w:val="00592D9A"/>
    <w:rsid w:val="00596497"/>
    <w:rsid w:val="005973B2"/>
    <w:rsid w:val="005A279D"/>
    <w:rsid w:val="005A4B3C"/>
    <w:rsid w:val="005A4C46"/>
    <w:rsid w:val="005A7786"/>
    <w:rsid w:val="005B019C"/>
    <w:rsid w:val="005B12C0"/>
    <w:rsid w:val="005B4B04"/>
    <w:rsid w:val="005B5785"/>
    <w:rsid w:val="005B735A"/>
    <w:rsid w:val="005B7859"/>
    <w:rsid w:val="005B7D3F"/>
    <w:rsid w:val="005C452C"/>
    <w:rsid w:val="005C5DA6"/>
    <w:rsid w:val="005D3F6C"/>
    <w:rsid w:val="005D5C15"/>
    <w:rsid w:val="005F19E4"/>
    <w:rsid w:val="00604542"/>
    <w:rsid w:val="00612657"/>
    <w:rsid w:val="00614699"/>
    <w:rsid w:val="00617643"/>
    <w:rsid w:val="0062179E"/>
    <w:rsid w:val="00626641"/>
    <w:rsid w:val="00643C12"/>
    <w:rsid w:val="00651AF7"/>
    <w:rsid w:val="006619CD"/>
    <w:rsid w:val="00667A8E"/>
    <w:rsid w:val="00676877"/>
    <w:rsid w:val="0068283E"/>
    <w:rsid w:val="006A5D43"/>
    <w:rsid w:val="006B2AF5"/>
    <w:rsid w:val="006B79E9"/>
    <w:rsid w:val="006C531D"/>
    <w:rsid w:val="006D0273"/>
    <w:rsid w:val="006D0EED"/>
    <w:rsid w:val="006D616F"/>
    <w:rsid w:val="006E1387"/>
    <w:rsid w:val="006E187A"/>
    <w:rsid w:val="006E2292"/>
    <w:rsid w:val="006E2727"/>
    <w:rsid w:val="006E4386"/>
    <w:rsid w:val="006F04E6"/>
    <w:rsid w:val="006F413D"/>
    <w:rsid w:val="006F71C0"/>
    <w:rsid w:val="00702907"/>
    <w:rsid w:val="00706B97"/>
    <w:rsid w:val="00710001"/>
    <w:rsid w:val="007217D3"/>
    <w:rsid w:val="007315DE"/>
    <w:rsid w:val="00736F9D"/>
    <w:rsid w:val="007407DF"/>
    <w:rsid w:val="0075089A"/>
    <w:rsid w:val="00764091"/>
    <w:rsid w:val="007711E7"/>
    <w:rsid w:val="00774595"/>
    <w:rsid w:val="007762E4"/>
    <w:rsid w:val="00791B5D"/>
    <w:rsid w:val="00794B26"/>
    <w:rsid w:val="00795D3B"/>
    <w:rsid w:val="00796A37"/>
    <w:rsid w:val="00797956"/>
    <w:rsid w:val="007C3250"/>
    <w:rsid w:val="007C3522"/>
    <w:rsid w:val="007C4C01"/>
    <w:rsid w:val="007D52F0"/>
    <w:rsid w:val="007D69E6"/>
    <w:rsid w:val="007E1AAF"/>
    <w:rsid w:val="007E6753"/>
    <w:rsid w:val="00804837"/>
    <w:rsid w:val="008328A5"/>
    <w:rsid w:val="00833526"/>
    <w:rsid w:val="00834070"/>
    <w:rsid w:val="00860681"/>
    <w:rsid w:val="008652DD"/>
    <w:rsid w:val="008755D2"/>
    <w:rsid w:val="00875CB8"/>
    <w:rsid w:val="008862A0"/>
    <w:rsid w:val="00886A33"/>
    <w:rsid w:val="00890C22"/>
    <w:rsid w:val="00897607"/>
    <w:rsid w:val="008A6426"/>
    <w:rsid w:val="008C06B7"/>
    <w:rsid w:val="008C5938"/>
    <w:rsid w:val="008E0D8C"/>
    <w:rsid w:val="008F5408"/>
    <w:rsid w:val="0092129A"/>
    <w:rsid w:val="009260C8"/>
    <w:rsid w:val="009422B6"/>
    <w:rsid w:val="00950E61"/>
    <w:rsid w:val="00956B67"/>
    <w:rsid w:val="00960AD2"/>
    <w:rsid w:val="00963DB9"/>
    <w:rsid w:val="009678A9"/>
    <w:rsid w:val="009739DA"/>
    <w:rsid w:val="009912A2"/>
    <w:rsid w:val="00992C1D"/>
    <w:rsid w:val="009A047A"/>
    <w:rsid w:val="009A3A58"/>
    <w:rsid w:val="009A65E8"/>
    <w:rsid w:val="009B344E"/>
    <w:rsid w:val="009C0778"/>
    <w:rsid w:val="009C178C"/>
    <w:rsid w:val="009C4CEA"/>
    <w:rsid w:val="009C7797"/>
    <w:rsid w:val="009D1E14"/>
    <w:rsid w:val="009D4C08"/>
    <w:rsid w:val="009E1139"/>
    <w:rsid w:val="009E58A5"/>
    <w:rsid w:val="009E636B"/>
    <w:rsid w:val="00A0019C"/>
    <w:rsid w:val="00A04EC0"/>
    <w:rsid w:val="00A06FCA"/>
    <w:rsid w:val="00A112B9"/>
    <w:rsid w:val="00A1291A"/>
    <w:rsid w:val="00A13F54"/>
    <w:rsid w:val="00A1411E"/>
    <w:rsid w:val="00A16B0A"/>
    <w:rsid w:val="00A339ED"/>
    <w:rsid w:val="00A41BC8"/>
    <w:rsid w:val="00A44051"/>
    <w:rsid w:val="00A449BD"/>
    <w:rsid w:val="00A60F54"/>
    <w:rsid w:val="00A628DC"/>
    <w:rsid w:val="00A70950"/>
    <w:rsid w:val="00A77696"/>
    <w:rsid w:val="00A866CB"/>
    <w:rsid w:val="00A95486"/>
    <w:rsid w:val="00AA0AB3"/>
    <w:rsid w:val="00AB228A"/>
    <w:rsid w:val="00AB4E63"/>
    <w:rsid w:val="00AC0CAE"/>
    <w:rsid w:val="00AC74D0"/>
    <w:rsid w:val="00AE7794"/>
    <w:rsid w:val="00B22105"/>
    <w:rsid w:val="00B227DE"/>
    <w:rsid w:val="00B23B9E"/>
    <w:rsid w:val="00B278D4"/>
    <w:rsid w:val="00B302A8"/>
    <w:rsid w:val="00B406C0"/>
    <w:rsid w:val="00B45B38"/>
    <w:rsid w:val="00B477CC"/>
    <w:rsid w:val="00B5102B"/>
    <w:rsid w:val="00B550D2"/>
    <w:rsid w:val="00B57608"/>
    <w:rsid w:val="00B66655"/>
    <w:rsid w:val="00B729D8"/>
    <w:rsid w:val="00B80E32"/>
    <w:rsid w:val="00B9311A"/>
    <w:rsid w:val="00BA4840"/>
    <w:rsid w:val="00BA688F"/>
    <w:rsid w:val="00BB07CD"/>
    <w:rsid w:val="00BB234B"/>
    <w:rsid w:val="00BB2523"/>
    <w:rsid w:val="00BC3FAA"/>
    <w:rsid w:val="00BC743F"/>
    <w:rsid w:val="00BD6EC6"/>
    <w:rsid w:val="00BE30A5"/>
    <w:rsid w:val="00C03C62"/>
    <w:rsid w:val="00C061AB"/>
    <w:rsid w:val="00C23EE1"/>
    <w:rsid w:val="00C24C4A"/>
    <w:rsid w:val="00C27F1A"/>
    <w:rsid w:val="00C50103"/>
    <w:rsid w:val="00C62E55"/>
    <w:rsid w:val="00C6685B"/>
    <w:rsid w:val="00C7143A"/>
    <w:rsid w:val="00C7353C"/>
    <w:rsid w:val="00C7620C"/>
    <w:rsid w:val="00C766B3"/>
    <w:rsid w:val="00C832EE"/>
    <w:rsid w:val="00C83C6D"/>
    <w:rsid w:val="00C879F6"/>
    <w:rsid w:val="00C91D8D"/>
    <w:rsid w:val="00C92C29"/>
    <w:rsid w:val="00C93348"/>
    <w:rsid w:val="00C9359A"/>
    <w:rsid w:val="00C9407D"/>
    <w:rsid w:val="00C959A0"/>
    <w:rsid w:val="00CA033B"/>
    <w:rsid w:val="00CB77B8"/>
    <w:rsid w:val="00CD2A7E"/>
    <w:rsid w:val="00CD3E96"/>
    <w:rsid w:val="00CD54C3"/>
    <w:rsid w:val="00CE345C"/>
    <w:rsid w:val="00CF30A5"/>
    <w:rsid w:val="00CF5FA4"/>
    <w:rsid w:val="00D126C6"/>
    <w:rsid w:val="00D200DE"/>
    <w:rsid w:val="00D239B7"/>
    <w:rsid w:val="00D24926"/>
    <w:rsid w:val="00D257AA"/>
    <w:rsid w:val="00D26B62"/>
    <w:rsid w:val="00D302F3"/>
    <w:rsid w:val="00D51647"/>
    <w:rsid w:val="00D51CD8"/>
    <w:rsid w:val="00D5596E"/>
    <w:rsid w:val="00D83ABE"/>
    <w:rsid w:val="00D93B15"/>
    <w:rsid w:val="00DA500F"/>
    <w:rsid w:val="00DA54BD"/>
    <w:rsid w:val="00DB2EA3"/>
    <w:rsid w:val="00DB61C2"/>
    <w:rsid w:val="00DB705A"/>
    <w:rsid w:val="00DC07AC"/>
    <w:rsid w:val="00DC7FAF"/>
    <w:rsid w:val="00DD2228"/>
    <w:rsid w:val="00DD4A95"/>
    <w:rsid w:val="00DF2D9D"/>
    <w:rsid w:val="00DF5D9F"/>
    <w:rsid w:val="00E07B82"/>
    <w:rsid w:val="00E12FB1"/>
    <w:rsid w:val="00E13162"/>
    <w:rsid w:val="00E1519C"/>
    <w:rsid w:val="00E30370"/>
    <w:rsid w:val="00E53A4C"/>
    <w:rsid w:val="00E54054"/>
    <w:rsid w:val="00E572F4"/>
    <w:rsid w:val="00E63E9A"/>
    <w:rsid w:val="00E63FD8"/>
    <w:rsid w:val="00E66E0B"/>
    <w:rsid w:val="00E72BE9"/>
    <w:rsid w:val="00E732A9"/>
    <w:rsid w:val="00E776BC"/>
    <w:rsid w:val="00E86344"/>
    <w:rsid w:val="00E951D2"/>
    <w:rsid w:val="00EA31C3"/>
    <w:rsid w:val="00EB4409"/>
    <w:rsid w:val="00EE0345"/>
    <w:rsid w:val="00EE5B4C"/>
    <w:rsid w:val="00EF0BBC"/>
    <w:rsid w:val="00F0414C"/>
    <w:rsid w:val="00F10568"/>
    <w:rsid w:val="00F10D2E"/>
    <w:rsid w:val="00F163D6"/>
    <w:rsid w:val="00F20239"/>
    <w:rsid w:val="00F613F1"/>
    <w:rsid w:val="00F62E27"/>
    <w:rsid w:val="00F65DE6"/>
    <w:rsid w:val="00F66172"/>
    <w:rsid w:val="00F72E17"/>
    <w:rsid w:val="00F8200E"/>
    <w:rsid w:val="00F93028"/>
    <w:rsid w:val="00F9306F"/>
    <w:rsid w:val="00F95A07"/>
    <w:rsid w:val="00F9747B"/>
    <w:rsid w:val="00FA0583"/>
    <w:rsid w:val="00FC347C"/>
    <w:rsid w:val="00FC3AC1"/>
    <w:rsid w:val="00FC4CFE"/>
    <w:rsid w:val="00FC77AA"/>
    <w:rsid w:val="00FD1099"/>
    <w:rsid w:val="00FE13B0"/>
    <w:rsid w:val="00FE3F49"/>
    <w:rsid w:val="00FF7A74"/>
  </w:rsids>
  <w:docVars>
    <w:docVar w:name="QPulseSys_IsBacchusDocument" w:val="true"/>
    <w:docVar w:name="QPulseSys_IsDocBeingEdited" w:val="False"/>
    <w:docVar w:name="QPulseSys_SecProtectDocEnableCopy" w:val="False"/>
    <w:docVar w:name="QPulseSys_SecProtectDocEnableEdit" w:val="False"/>
    <w:docVar w:name="QPulseSys_SecProtectDocEnablePrint" w:val="False"/>
    <w:docVar w:name="QPulseSys_SecProtectDocEnablePrintPreview" w:val="False"/>
    <w:docVar w:name="QPulseSys_SecProtectDocEnablePublish" w:val="False"/>
    <w:docVar w:name="QPulseSys_SecProtectDocEnableSaveAs" w:val="False"/>
    <w:docVar w:name="QPulseSys_SecProtectDocEnableSend" w:val="Fals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b9f069de-2a74-45a3-81bf-325089a5622b"/>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242AC275-36FA-4DB7-B5AC-71126CC5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66"/>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7E1AAF"/>
    <w:pPr>
      <w:keepNext/>
      <w:numPr>
        <w:ilvl w:val="1"/>
        <w:numId w:val="2"/>
      </w:numPr>
      <w:spacing w:before="120" w:after="60"/>
      <w:outlineLvl w:val="1"/>
    </w:pPr>
    <w:rPr>
      <w:rFonts w:cs="Arial"/>
      <w:szCs w:val="22"/>
      <w:u w:val="single"/>
      <w:lang w:val="en-US"/>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num" w:pos="525"/>
        <w:tab w:val="clear" w:pos="644"/>
      </w:tabs>
      <w:spacing w:after="0"/>
      <w:ind w:left="525" w:hanging="525"/>
    </w:pPr>
    <w:rPr>
      <w:rFonts w:ascii="Times New Roman" w:hAnsi="Times New Roman"/>
      <w:spacing w:val="-3"/>
      <w:sz w:val="24"/>
    </w:rPr>
  </w:style>
  <w:style w:type="character" w:customStyle="1" w:styleId="Heading2Char">
    <w:name w:val="Heading 2 Char"/>
    <w:link w:val="Heading2"/>
    <w:rsid w:val="007E1AAF"/>
    <w:rPr>
      <w:rFonts w:ascii="Arial" w:hAnsi="Arial" w:cs="Arial"/>
      <w:sz w:val="22"/>
      <w:szCs w:val="22"/>
      <w:u w:val="single"/>
      <w:lang w:val="en-US"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semiHidden/>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table" w:customStyle="1" w:styleId="TableGrid1">
    <w:name w:val="Table Grid1"/>
    <w:basedOn w:val="TableNormal"/>
    <w:next w:val="TableGrid"/>
    <w:uiPriority w:val="59"/>
    <w:rsid w:val="00E5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7566"/>
    <w:pPr>
      <w:widowControl w:val="0"/>
      <w:autoSpaceDE w:val="0"/>
      <w:autoSpaceDN w:val="0"/>
      <w:spacing w:after="0"/>
      <w:ind w:left="107"/>
    </w:pPr>
    <w:rPr>
      <w:rFonts w:eastAsia="Arial" w:cs="Arial"/>
      <w:szCs w:val="22"/>
      <w:lang w:eastAsia="en-GB" w:bidi="en-GB"/>
    </w:rPr>
  </w:style>
  <w:style w:type="paragraph" w:customStyle="1" w:styleId="Default">
    <w:name w:val="Default"/>
    <w:rsid w:val="005B7D3F"/>
    <w:pPr>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9739DA"/>
    <w:rPr>
      <w:color w:val="605E5C"/>
      <w:shd w:val="clear" w:color="auto" w:fill="E1DFDD"/>
    </w:rPr>
  </w:style>
  <w:style w:type="character" w:styleId="CommentReference">
    <w:name w:val="annotation reference"/>
    <w:basedOn w:val="DefaultParagraphFont"/>
    <w:semiHidden/>
    <w:unhideWhenUsed/>
    <w:rsid w:val="009E636B"/>
    <w:rPr>
      <w:sz w:val="16"/>
      <w:szCs w:val="16"/>
    </w:rPr>
  </w:style>
  <w:style w:type="paragraph" w:styleId="CommentText">
    <w:name w:val="annotation text"/>
    <w:basedOn w:val="Normal"/>
    <w:link w:val="CommentTextChar"/>
    <w:unhideWhenUsed/>
    <w:rsid w:val="009E636B"/>
    <w:rPr>
      <w:sz w:val="20"/>
    </w:rPr>
  </w:style>
  <w:style w:type="character" w:customStyle="1" w:styleId="CommentTextChar">
    <w:name w:val="Comment Text Char"/>
    <w:basedOn w:val="DefaultParagraphFont"/>
    <w:link w:val="CommentText"/>
    <w:rsid w:val="009E636B"/>
    <w:rPr>
      <w:rFonts w:ascii="Arial" w:hAnsi="Arial"/>
      <w:lang w:eastAsia="en-US"/>
    </w:rPr>
  </w:style>
  <w:style w:type="paragraph" w:styleId="CommentSubject">
    <w:name w:val="annotation subject"/>
    <w:basedOn w:val="CommentText"/>
    <w:next w:val="CommentText"/>
    <w:link w:val="CommentSubjectChar"/>
    <w:semiHidden/>
    <w:unhideWhenUsed/>
    <w:rsid w:val="009E636B"/>
    <w:rPr>
      <w:b/>
      <w:bCs/>
    </w:rPr>
  </w:style>
  <w:style w:type="character" w:customStyle="1" w:styleId="CommentSubjectChar">
    <w:name w:val="Comment Subject Char"/>
    <w:basedOn w:val="CommentTextChar"/>
    <w:link w:val="CommentSubject"/>
    <w:semiHidden/>
    <w:rsid w:val="009E636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commentsExtended" Target="commentsExtended.xml" /><Relationship Id="rId11" Type="http://schemas.openxmlformats.org/officeDocument/2006/relationships/comments" Target="comments.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yperlink" Target="https://docs.google.com/spreadsheets/d/1KsAXhqzKaXN2XgsZHdMl2jeA1WxwmBklzXxTsrGWC_g/edit?gid=0"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C79B-9AAE-467D-B445-8115946E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1218</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WILKINSON, Clemora (YORK AND SCARBOROUGH TEACHING HOSPITALS NHS FOUNDATION TRUST)</cp:lastModifiedBy>
  <cp:revision>30</cp:revision>
  <cp:lastPrinted>2014-04-04T14:17:00Z</cp:lastPrinted>
  <dcterms:created xsi:type="dcterms:W3CDTF">2025-04-14T14:11:00Z</dcterms:created>
  <dcterms:modified xsi:type="dcterms:W3CDTF">2025-04-16T10:02:00Z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